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11.xml" ContentType="application/vnd.openxmlformats-officedocument.wordprocessingml.footer+xml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4.xml" ContentType="application/vnd.openxmlformats-officedocument.wordprocessingml.head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2.xml" ContentType="application/vnd.openxmlformats-officedocument.wordprocessingml.header+xml"/>
  <Override PartName="/word/header10.xml" ContentType="application/vnd.openxmlformats-officedocument.wordprocessingml.header+xml"/>
  <Override PartName="/word/header8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numbering.xml" ContentType="application/vnd.openxmlformats-officedocument.wordprocessingml.numbering+xml"/>
  <Override PartName="/word/header6.xml" ContentType="application/vnd.openxmlformats-officedocument.wordprocessingml.header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9.xml" ContentType="application/vnd.openxmlformats-officedocument.wordprocessingml.footer+xml"/>
  <Override PartName="/word/theme/theme1.xml" ContentType="application/vnd.openxmlformats-officedocument.theme+xml"/>
  <Override PartName="/word/header11.xml" ContentType="application/vnd.openxmlformats-officedocument.wordprocessingml.header+xml"/>
  <Override PartName="/word/header4.xml" ContentType="application/vnd.openxmlformats-officedocument.wordprocessingml.header+xml"/>
  <Override PartName="/word/header2.xml" ContentType="application/vnd.openxmlformats-officedocument.wordprocessingml.header+xml"/>
  <Override PartName="/word/header9.xml" ContentType="application/vnd.openxmlformats-officedocument.wordprocessingml.head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header7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237"/>
        <w:jc w:val="center"/>
        <w:spacing w:line="240" w:lineRule="auto"/>
      </w:pPr>
      <w:r>
        <w:rPr>
          <w:rFonts w:ascii="Times New Roman" w:hAnsi="Times New Roman" w:cs="Times New Roman"/>
          <w:sz w:val="24"/>
          <w:szCs w:val="24"/>
        </w:rPr>
        <w:t xml:space="preserve">БЕЛГОРОДСКАЯ ОБЛАСТЬ</w:t>
      </w:r>
      <w:r/>
    </w:p>
    <w:p>
      <w:pPr>
        <w:pStyle w:val="1190"/>
        <w:jc w:val="center"/>
      </w:pPr>
      <w:r>
        <w:rPr>
          <w:b/>
        </w:rPr>
        <w:t xml:space="preserve">ЧЕРНЯНСКИЙ РАЙОН</w:t>
      </w:r>
      <w:r/>
    </w:p>
    <w:p>
      <w:pPr>
        <w:pStyle w:val="1190"/>
        <w:rPr>
          <w:b/>
          <w:lang w:val="en-US" w:eastAsia="en-US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935" distR="114935" simplePos="0" relativeHeight="524288" behindDoc="0" locked="0" layoutInCell="1" allowOverlap="1">
                <wp:simplePos x="0" y="0"/>
                <wp:positionH relativeFrom="margin">
                  <wp:posOffset>2818765</wp:posOffset>
                </wp:positionH>
                <wp:positionV relativeFrom="margin">
                  <wp:posOffset>420370</wp:posOffset>
                </wp:positionV>
                <wp:extent cx="470535" cy="605790"/>
                <wp:effectExtent l="0" t="0" r="0" b="0"/>
                <wp:wrapTopAndBottom/>
                <wp:docPr id="6" name="_x0000_s205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34"/>
                        <a:srcRect l="-481" t="-420" r="-480" b="-420"/>
                        <a:stretch/>
                      </pic:blipFill>
                      <pic:spPr bwMode="auto">
                        <a:xfrm>
                          <a:off x="0" y="0"/>
                          <a:ext cx="470535" cy="605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5" o:spid="_x0000_s5" type="#_x0000_t75" style="position:absolute;z-index:524288;o:allowoverlap:true;o:allowincell:true;mso-position-horizontal-relative:margin;margin-left:221.9pt;mso-position-horizontal:absolute;mso-position-vertical-relative:margin;margin-top:33.1pt;mso-position-vertical:absolute;width:37.0pt;height:47.7pt;mso-wrap-distance-left:9.0pt;mso-wrap-distance-top:0.0pt;mso-wrap-distance-right:9.0pt;mso-wrap-distance-bottom:0.0pt;" stroked="f">
                <v:path textboxrect="0,0,0,0"/>
                <w10:wrap type="topAndBottom"/>
                <v:imagedata r:id="rId34" o:title=""/>
              </v:shape>
            </w:pict>
          </mc:Fallback>
        </mc:AlternateContent>
      </w:r>
      <w:r>
        <w:rPr>
          <w:b/>
          <w:lang w:val="en-US" w:eastAsia="en-US"/>
        </w:rPr>
      </w:r>
      <w:r/>
    </w:p>
    <w:p>
      <w:pPr>
        <w:pStyle w:val="1237"/>
        <w:jc w:val="center"/>
        <w:spacing w:line="240" w:lineRule="auto"/>
      </w:pPr>
      <w:r>
        <w:rPr>
          <w:rFonts w:ascii="Times New Roman" w:hAnsi="Times New Roman" w:cs="Times New Roman"/>
          <w:sz w:val="24"/>
          <w:szCs w:val="24"/>
        </w:rPr>
        <w:t xml:space="preserve">АДМИНИСТРАЦИЯ МУНИЦИПАЛЬНОГО РАЙОНА </w:t>
      </w:r>
      <w:r/>
    </w:p>
    <w:p>
      <w:pPr>
        <w:pStyle w:val="1237"/>
        <w:jc w:val="center"/>
        <w:spacing w:line="240" w:lineRule="auto"/>
      </w:pPr>
      <w:r>
        <w:rPr>
          <w:rFonts w:ascii="Times New Roman" w:hAnsi="Times New Roman" w:cs="Times New Roman"/>
          <w:sz w:val="24"/>
          <w:szCs w:val="24"/>
        </w:rPr>
        <w:t xml:space="preserve">"ЧЕРНЯНСКИЙ РАЙОН" БЕЛГОРОДСКОЙ ОБЛАСТИ</w:t>
      </w:r>
      <w:r/>
    </w:p>
    <w:p>
      <w:pPr>
        <w:pStyle w:val="1190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</w:r>
      <w:r/>
    </w:p>
    <w:p>
      <w:pPr>
        <w:pStyle w:val="1190"/>
        <w:jc w:val="center"/>
        <w:shd w:val="clear" w:color="auto" w:fill="ffffff"/>
      </w:pPr>
      <w:r>
        <w:rPr>
          <w:b/>
          <w:sz w:val="28"/>
          <w:szCs w:val="28"/>
        </w:rPr>
        <w:t xml:space="preserve">П О С Т А Н О В Л Е Н И Е</w:t>
      </w:r>
      <w:r/>
    </w:p>
    <w:p>
      <w:pPr>
        <w:pStyle w:val="1190"/>
        <w:jc w:val="center"/>
        <w:shd w:val="clear" w:color="auto" w:fill="ffffff"/>
      </w:pPr>
      <w:r>
        <w:rPr>
          <w:b/>
        </w:rPr>
        <w:t xml:space="preserve">п. Чернянка</w:t>
      </w:r>
      <w:r/>
    </w:p>
    <w:p>
      <w:pPr>
        <w:pStyle w:val="1190"/>
        <w:ind w:left="0" w:right="0" w:hanging="751"/>
        <w:jc w:val="center"/>
        <w:shd w:val="clear" w:color="auto" w:fill="ffffff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1190"/>
        <w:shd w:val="clear" w:color="auto" w:fill="ffffff"/>
      </w:pPr>
      <w:r>
        <w:rPr>
          <w:b/>
          <w:sz w:val="28"/>
          <w:szCs w:val="28"/>
        </w:rPr>
        <w:t xml:space="preserve">«27» февраля 2024</w:t>
      </w:r>
      <w:r>
        <w:rPr>
          <w:b/>
          <w:color w:val="000000"/>
          <w:sz w:val="28"/>
          <w:szCs w:val="28"/>
        </w:rPr>
        <w:t xml:space="preserve"> года                                                                            № 113</w:t>
      </w:r>
      <w:r/>
    </w:p>
    <w:p>
      <w:pPr>
        <w:pStyle w:val="119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  <w:r/>
    </w:p>
    <w:p>
      <w:pPr>
        <w:pStyle w:val="119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  <w:r/>
    </w:p>
    <w:p>
      <w:pPr>
        <w:pStyle w:val="1190"/>
        <w:jc w:val="center"/>
      </w:pPr>
      <w:r>
        <w:rPr>
          <w:b/>
          <w:sz w:val="28"/>
          <w:szCs w:val="28"/>
        </w:rPr>
        <w:t xml:space="preserve">О внесении изменений в постановление администрации  муниципального района «Чернянский район» Белгородской области от 31.01.2018 года </w:t>
      </w:r>
      <w:r/>
    </w:p>
    <w:p>
      <w:pPr>
        <w:pStyle w:val="1190"/>
        <w:jc w:val="center"/>
      </w:pPr>
      <w:r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 xml:space="preserve">52 «Об утверждении муниципальной программы Чернянского </w:t>
      </w:r>
      <w:r/>
    </w:p>
    <w:p>
      <w:pPr>
        <w:pStyle w:val="1190"/>
        <w:jc w:val="center"/>
      </w:pPr>
      <w:r>
        <w:rPr>
          <w:b/>
          <w:sz w:val="28"/>
          <w:szCs w:val="28"/>
        </w:rPr>
        <w:t xml:space="preserve">района «Совершенствование и развитие транспортной системы и дорожной сети Чернянского района»</w:t>
      </w:r>
      <w:r/>
    </w:p>
    <w:p>
      <w:pPr>
        <w:pStyle w:val="119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119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1190"/>
        <w:ind w:left="0" w:right="0" w:firstLine="709"/>
        <w:jc w:val="both"/>
        <w:tabs>
          <w:tab w:val="left" w:pos="0" w:leader="none"/>
          <w:tab w:val="left" w:pos="540" w:leader="none"/>
          <w:tab w:val="left" w:pos="720" w:leader="none"/>
        </w:tabs>
      </w:pPr>
      <w:r>
        <w:rPr>
          <w:sz w:val="28"/>
          <w:szCs w:val="28"/>
        </w:rPr>
        <w:t xml:space="preserve">В </w:t>
      </w:r>
      <w:r>
        <w:rPr>
          <w:bCs/>
          <w:sz w:val="28"/>
          <w:szCs w:val="28"/>
        </w:rPr>
        <w:t xml:space="preserve">целях актуализации и повышения эффективности реализации муниципальной программы Чернянского района «</w:t>
      </w:r>
      <w:r>
        <w:rPr>
          <w:sz w:val="28"/>
          <w:szCs w:val="28"/>
        </w:rPr>
        <w:t xml:space="preserve">Совершенствование и развитие транспортной системы и дорожной сети Чернянского района», администрация муниципального района «Чернянский район»  Белгородской области </w:t>
      </w:r>
      <w:r>
        <w:rPr>
          <w:b/>
          <w:sz w:val="28"/>
          <w:szCs w:val="28"/>
        </w:rPr>
        <w:t xml:space="preserve">постановляет</w:t>
      </w:r>
      <w:r>
        <w:rPr>
          <w:sz w:val="28"/>
          <w:szCs w:val="28"/>
        </w:rPr>
        <w:t xml:space="preserve">:</w:t>
      </w:r>
      <w:r/>
    </w:p>
    <w:p>
      <w:pPr>
        <w:pStyle w:val="1190"/>
        <w:numPr>
          <w:ilvl w:val="0"/>
          <w:numId w:val="3"/>
        </w:numPr>
        <w:ind w:left="0" w:right="0" w:firstLine="709"/>
        <w:jc w:val="both"/>
      </w:pPr>
      <w:r>
        <w:rPr>
          <w:sz w:val="28"/>
          <w:szCs w:val="28"/>
        </w:rPr>
        <w:t xml:space="preserve">Внести в постановление администрации </w:t>
      </w:r>
      <w:r>
        <w:rPr>
          <w:sz w:val="28"/>
          <w:szCs w:val="28"/>
        </w:rPr>
        <w:t xml:space="preserve">муниципального района «Чернянский район» Белгородской области от 31 января 2018 года № 52 «Об утверждении муниципальной программы Чернянского района «Совершенствование и развитие транспортной системы и дорожной сети Чернянского района» следующие изменения:</w:t>
      </w:r>
      <w:r/>
    </w:p>
    <w:p>
      <w:pPr>
        <w:pStyle w:val="1190"/>
        <w:numPr>
          <w:ilvl w:val="1"/>
          <w:numId w:val="2"/>
        </w:numPr>
        <w:ind w:left="0" w:right="0" w:firstLine="709"/>
        <w:jc w:val="both"/>
      </w:pPr>
      <w:r>
        <w:rPr>
          <w:sz w:val="28"/>
          <w:szCs w:val="28"/>
        </w:rPr>
        <w:t xml:space="preserve">Муниципальную программу Чернянского района «Совершенствование и развитие транспортной системы и дорожной сети Чернянского района Белгородской области» утвержденную ч.1 постановления, изменить и изложить в прилагаемой редакции (прилагается).</w:t>
      </w:r>
      <w:r/>
    </w:p>
    <w:p>
      <w:pPr>
        <w:pStyle w:val="1190"/>
        <w:ind w:left="0" w:right="0" w:firstLine="709"/>
        <w:jc w:val="both"/>
      </w:pPr>
      <w:r>
        <w:rPr>
          <w:sz w:val="28"/>
          <w:szCs w:val="28"/>
        </w:rPr>
        <w:t xml:space="preserve">2. Управлению организационно-контрольной и кадровой работы администрации Чернянского района (Нечепуренко Е.К.) обеспечить размещение настоящего постановления на официальном сайте органов местного самоуправления Чернянского района в сети Интернет (</w:t>
      </w:r>
      <w:r>
        <w:rPr>
          <w:rFonts w:cs="Times New Roman"/>
          <w:sz w:val="28"/>
          <w:szCs w:val="28"/>
          <w:lang w:val="en-US"/>
        </w:rPr>
        <w:t xml:space="preserve">https://chernyanskijrajon-r31.gosweb.gosuslugi.ru</w:t>
      </w:r>
      <w:r>
        <w:rPr>
          <w:sz w:val="28"/>
          <w:szCs w:val="28"/>
        </w:rPr>
        <w:t xml:space="preserve">).</w:t>
      </w:r>
      <w:r/>
    </w:p>
    <w:p>
      <w:pPr>
        <w:pStyle w:val="1190"/>
        <w:ind w:left="0" w:right="0" w:firstLine="709"/>
        <w:jc w:val="both"/>
        <w:tabs>
          <w:tab w:val="left" w:pos="0" w:leader="none"/>
          <w:tab w:val="left" w:pos="540" w:leader="none"/>
          <w:tab w:val="left" w:pos="720" w:leader="none"/>
        </w:tabs>
      </w:pPr>
      <w:r>
        <w:rPr>
          <w:sz w:val="28"/>
          <w:szCs w:val="28"/>
        </w:rPr>
        <w:t xml:space="preserve">3. Контроль за исполнением данного постановления возложить на первого заместителя главы администрации Чернянского района по реализации проектов и программ в строительстве и градостроительной деятельности (Морозов С.А.).</w:t>
      </w:r>
      <w:r/>
    </w:p>
    <w:p>
      <w:pPr>
        <w:pStyle w:val="1190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1190"/>
      </w:pPr>
      <w:r>
        <w:rPr>
          <w:b/>
          <w:sz w:val="28"/>
          <w:szCs w:val="28"/>
        </w:rPr>
        <w:t xml:space="preserve">Глава администрации</w:t>
      </w:r>
      <w:r/>
    </w:p>
    <w:p>
      <w:pPr>
        <w:pStyle w:val="1190"/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Чернянского района</w:t>
        <w:tab/>
        <w:tab/>
        <w:tab/>
        <w:tab/>
        <w:tab/>
        <w:tab/>
        <w:tab/>
        <w:t xml:space="preserve">    Т. П. Круглякова</w:t>
      </w:r>
      <w:r/>
    </w:p>
    <w:p>
      <w:pPr>
        <w:pStyle w:val="1190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119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1190"/>
        <w:contextualSpacing/>
        <w:jc w:val="center"/>
        <w:spacing w:before="0" w:after="0"/>
      </w:pPr>
      <w:r>
        <w:rPr>
          <w:b/>
        </w:rPr>
        <w:t xml:space="preserve">ЛИСТ СОГЛАСОВАНИЯ</w:t>
      </w:r>
      <w:r/>
    </w:p>
    <w:p>
      <w:pPr>
        <w:pStyle w:val="1190"/>
        <w:contextualSpacing/>
        <w:jc w:val="center"/>
        <w:spacing w:before="0" w:after="0"/>
      </w:pPr>
      <w:r>
        <w:t xml:space="preserve">проекта постановления администрации </w:t>
      </w:r>
      <w:r/>
    </w:p>
    <w:p>
      <w:pPr>
        <w:pStyle w:val="1190"/>
        <w:contextualSpacing/>
        <w:jc w:val="center"/>
        <w:spacing w:before="0" w:after="0"/>
      </w:pPr>
      <w:r>
        <w:t xml:space="preserve">муниципального района «Чернянский район»</w:t>
      </w:r>
      <w:r/>
    </w:p>
    <w:p>
      <w:pPr>
        <w:pStyle w:val="1190"/>
        <w:jc w:val="center"/>
      </w:pPr>
      <w:r>
        <w:rPr>
          <w:b/>
        </w:rPr>
        <w:t xml:space="preserve">О внесении изменений в пост</w:t>
      </w:r>
      <w:r>
        <w:rPr>
          <w:b/>
        </w:rPr>
        <w:t xml:space="preserve">ановление администрации  муниципального района «Чернянский район» Белгородской области от 31.01.2018 года № 52 «Об утверждении муниципальной программы Чернянского района «Совершенствование и развитие транспортной системы и дорожной сети Чернянского района»</w:t>
      </w:r>
      <w:r/>
    </w:p>
    <w:p>
      <w:pPr>
        <w:pStyle w:val="1190"/>
        <w:jc w:val="center"/>
        <w:rPr>
          <w:b/>
        </w:rPr>
      </w:pPr>
      <w:r>
        <w:rPr>
          <w:b/>
        </w:rPr>
      </w:r>
      <w:r/>
    </w:p>
    <w:p>
      <w:pPr>
        <w:pStyle w:val="1190"/>
        <w:jc w:val="center"/>
        <w:rPr>
          <w:b/>
        </w:rPr>
      </w:pPr>
      <w:r>
        <w:rPr>
          <w:b/>
        </w:rPr>
      </w:r>
      <w:r/>
    </w:p>
    <w:p>
      <w:pPr>
        <w:pStyle w:val="1190"/>
        <w:contextualSpacing/>
        <w:jc w:val="center"/>
        <w:spacing w:before="0" w:after="0"/>
        <w:rPr>
          <w:b/>
        </w:rPr>
      </w:pPr>
      <w:r>
        <w:rPr>
          <w:b/>
        </w:rPr>
      </w:r>
      <w:r/>
    </w:p>
    <w:p>
      <w:pPr>
        <w:pStyle w:val="1190"/>
        <w:contextualSpacing/>
        <w:spacing w:before="0" w:after="0"/>
        <w:rPr>
          <w:b/>
        </w:rPr>
      </w:pPr>
      <w:r>
        <w:rPr>
          <w:b/>
        </w:rPr>
      </w:r>
      <w:r/>
    </w:p>
    <w:p>
      <w:pPr>
        <w:pStyle w:val="1190"/>
        <w:contextualSpacing/>
        <w:spacing w:before="0" w:after="0"/>
        <w:tabs>
          <w:tab w:val="left" w:pos="9072" w:leader="none"/>
        </w:tabs>
      </w:pPr>
      <w:r>
        <w:t xml:space="preserve">Документу присвоен № ________ от «____» _____________ 2024 года</w:t>
      </w:r>
      <w:r/>
    </w:p>
    <w:p>
      <w:pPr>
        <w:pStyle w:val="1190"/>
        <w:contextualSpacing/>
        <w:spacing w:before="0" w:after="0"/>
        <w:tabs>
          <w:tab w:val="left" w:pos="9072" w:leader="none"/>
        </w:tabs>
      </w:pPr>
      <w:r/>
      <w:r/>
    </w:p>
    <w:p>
      <w:pPr>
        <w:pStyle w:val="1190"/>
        <w:contextualSpacing/>
        <w:spacing w:before="0" w:after="0"/>
        <w:rPr>
          <w:b/>
        </w:rPr>
      </w:pPr>
      <w:r>
        <w:rPr>
          <w:b/>
        </w:rPr>
      </w:r>
      <w:r/>
    </w:p>
    <w:p>
      <w:pPr>
        <w:pStyle w:val="1190"/>
        <w:contextualSpacing/>
        <w:spacing w:before="0" w:after="0"/>
      </w:pPr>
      <w:r>
        <w:rPr>
          <w:b/>
        </w:rPr>
        <w:t xml:space="preserve">Подготовлено:</w:t>
      </w:r>
      <w:r/>
    </w:p>
    <w:p>
      <w:pPr>
        <w:pStyle w:val="1190"/>
        <w:contextualSpacing/>
        <w:spacing w:before="0" w:after="0"/>
        <w:rPr>
          <w:b/>
        </w:rPr>
      </w:pPr>
      <w:r>
        <w:rPr>
          <w:b/>
        </w:rPr>
      </w:r>
      <w:r/>
    </w:p>
    <w:tbl>
      <w:tblPr>
        <w:tblW w:w="0" w:type="auto"/>
        <w:tblInd w:w="-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5" w:type="dxa"/>
            <w:vAlign w:val="top"/>
            <w:textDirection w:val="lrTb"/>
            <w:noWrap w:val="false"/>
          </w:tcPr>
          <w:p>
            <w:pPr>
              <w:pStyle w:val="1190"/>
              <w:ind w:left="0" w:right="-109" w:firstLine="0"/>
            </w:pPr>
            <w:r>
              <w:t xml:space="preserve">МКУ «Управление                строительства, транспорта, связи и ЖКХ» Чернянского района </w:t>
            </w:r>
            <w:r/>
          </w:p>
          <w:p>
            <w:pPr>
              <w:pStyle w:val="1190"/>
            </w:pPr>
            <w:r/>
            <w:r/>
          </w:p>
          <w:p>
            <w:pPr>
              <w:pStyle w:val="1190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5" w:type="dxa"/>
            <w:vAlign w:val="top"/>
            <w:textDirection w:val="lrTb"/>
            <w:noWrap w:val="false"/>
          </w:tcPr>
          <w:p>
            <w:pPr>
              <w:pStyle w:val="1190"/>
              <w:ind w:left="0" w:right="0" w:hanging="249"/>
              <w:jc w:val="right"/>
            </w:pPr>
            <w:r/>
            <w:r/>
          </w:p>
          <w:p>
            <w:pPr>
              <w:pStyle w:val="1190"/>
              <w:ind w:left="0" w:right="0" w:hanging="249"/>
              <w:jc w:val="right"/>
            </w:pPr>
            <w:r/>
            <w:r/>
          </w:p>
          <w:p>
            <w:pPr>
              <w:pStyle w:val="1190"/>
              <w:ind w:left="0" w:right="0" w:hanging="249"/>
              <w:jc w:val="center"/>
            </w:pPr>
            <w:r>
              <w:t xml:space="preserve">                                                   </w:t>
            </w:r>
            <w:r/>
          </w:p>
          <w:p>
            <w:pPr>
              <w:pStyle w:val="1190"/>
              <w:ind w:left="0" w:right="0" w:hanging="249"/>
              <w:jc w:val="center"/>
            </w:pPr>
            <w:r>
              <w:t xml:space="preserve">                                                   А. Н. Комарович</w:t>
            </w:r>
            <w:r/>
          </w:p>
          <w:p>
            <w:pPr>
              <w:pStyle w:val="1190"/>
              <w:ind w:left="0" w:right="0" w:hanging="249"/>
              <w:jc w:val="right"/>
            </w:pPr>
            <w:r/>
            <w:r/>
          </w:p>
        </w:tc>
      </w:tr>
    </w:tbl>
    <w:p>
      <w:pPr>
        <w:pStyle w:val="1190"/>
        <w:contextualSpacing/>
        <w:spacing w:before="0" w:after="0"/>
      </w:pPr>
      <w:r>
        <w:rPr>
          <w:b/>
        </w:rPr>
        <w:t xml:space="preserve">Согласовано:</w:t>
      </w:r>
      <w:r/>
    </w:p>
    <w:p>
      <w:pPr>
        <w:pStyle w:val="1190"/>
        <w:contextualSpacing/>
        <w:spacing w:before="0" w:after="0"/>
        <w:rPr>
          <w:b/>
        </w:rPr>
      </w:pPr>
      <w:r>
        <w:rPr>
          <w:b/>
        </w:rPr>
      </w:r>
      <w:r/>
    </w:p>
    <w:p>
      <w:pPr>
        <w:pStyle w:val="1190"/>
      </w:pPr>
      <w:r/>
      <w:bookmarkStart w:id="0" w:name="_Hlk26513557"/>
      <w:r>
        <w:t xml:space="preserve">Первый заместитель главы администрации </w:t>
      </w:r>
      <w:r/>
    </w:p>
    <w:p>
      <w:pPr>
        <w:pStyle w:val="1190"/>
      </w:pPr>
      <w:r>
        <w:t xml:space="preserve">Чернянского района по реализации проектов</w:t>
      </w:r>
      <w:r/>
    </w:p>
    <w:p>
      <w:pPr>
        <w:pStyle w:val="1190"/>
      </w:pPr>
      <w:r>
        <w:t xml:space="preserve">и программ в строительстве и </w:t>
      </w:r>
      <w:r/>
    </w:p>
    <w:p>
      <w:pPr>
        <w:pStyle w:val="1190"/>
      </w:pPr>
      <w:r>
        <w:t xml:space="preserve">градостроительной деятельности                                                                       С.А. Морозов</w:t>
      </w:r>
      <w:r/>
    </w:p>
    <w:p>
      <w:pPr>
        <w:pStyle w:val="1190"/>
      </w:pPr>
      <w:r/>
      <w:r/>
    </w:p>
    <w:p>
      <w:pPr>
        <w:pStyle w:val="1190"/>
        <w:rPr>
          <w:highlight w:val="white"/>
        </w:rPr>
      </w:pPr>
      <w:r>
        <w:rPr>
          <w:szCs w:val="28"/>
          <w:highlight w:val="white"/>
        </w:rPr>
        <w:t xml:space="preserve">Р</w:t>
      </w:r>
      <w:r>
        <w:rPr>
          <w:szCs w:val="28"/>
          <w:highlight w:val="white"/>
        </w:rPr>
        <w:t xml:space="preserve">уководитель управления финансов </w:t>
      </w:r>
      <w:r>
        <w:rPr>
          <w:highlight w:val="white"/>
        </w:rPr>
      </w:r>
      <w:r/>
    </w:p>
    <w:p>
      <w:pPr>
        <w:pStyle w:val="1190"/>
        <w:rPr>
          <w:highlight w:val="white"/>
        </w:rPr>
      </w:pPr>
      <w:r>
        <w:rPr>
          <w:szCs w:val="28"/>
          <w:highlight w:val="white"/>
        </w:rPr>
        <w:t xml:space="preserve">и бюджетной политики администрации </w:t>
      </w:r>
      <w:r>
        <w:rPr>
          <w:highlight w:val="white"/>
        </w:rPr>
      </w:r>
      <w:r/>
    </w:p>
    <w:p>
      <w:pPr>
        <w:rPr>
          <w:highlight w:val="white"/>
        </w:rPr>
      </w:pPr>
      <w:r>
        <w:rPr>
          <w:szCs w:val="28"/>
          <w:highlight w:val="white"/>
        </w:rPr>
        <w:t xml:space="preserve">Чернянского района</w:t>
      </w:r>
      <w:r>
        <w:rPr>
          <w:szCs w:val="28"/>
          <w:highlight w:val="white"/>
        </w:rPr>
        <w:t xml:space="preserve">                                                                                             Н.И. Гостева</w:t>
      </w:r>
      <w:r>
        <w:rPr>
          <w:highlight w:val="white"/>
        </w:rPr>
      </w:r>
      <w:r/>
    </w:p>
    <w:p>
      <w:pPr>
        <w:pStyle w:val="1190"/>
        <w:contextualSpacing/>
        <w:spacing w:before="0" w:after="0"/>
        <w:rPr>
          <w:szCs w:val="28"/>
          <w:highlight w:val="white"/>
        </w:rPr>
      </w:pPr>
      <w:r>
        <w:rPr>
          <w:szCs w:val="28"/>
          <w:highlight w:val="white"/>
        </w:rPr>
      </w:r>
      <w:r>
        <w:rPr>
          <w:highlight w:val="white"/>
        </w:rPr>
      </w:r>
      <w:r/>
    </w:p>
    <w:p>
      <w:pPr>
        <w:pStyle w:val="1190"/>
        <w:rPr>
          <w:color w:val="000000"/>
        </w:rPr>
      </w:pPr>
      <w:r>
        <w:rPr>
          <w:color w:val="000000"/>
        </w:rPr>
        <w:t xml:space="preserve">Заместитель главы администрации</w:t>
      </w:r>
      <w:r/>
    </w:p>
    <w:p>
      <w:r>
        <w:rPr>
          <w:color w:val="000000"/>
        </w:rPr>
        <w:t xml:space="preserve">Чернянского района - Руководитель аппарата </w:t>
      </w:r>
      <w:r/>
    </w:p>
    <w:p>
      <w:pPr>
        <w:pStyle w:val="1190"/>
      </w:pPr>
      <w:r>
        <w:rPr>
          <w:color w:val="000000"/>
        </w:rPr>
        <w:t xml:space="preserve">администрации Чернянского района                                                                  Л.Н. Овсянникова</w:t>
      </w:r>
      <w:r/>
    </w:p>
    <w:p>
      <w:pPr>
        <w:pStyle w:val="1190"/>
        <w:contextualSpacing/>
        <w:ind w:left="0" w:right="-569" w:firstLine="0"/>
        <w:spacing w:before="0" w:after="0"/>
        <w:tabs>
          <w:tab w:val="left" w:pos="7371" w:leader="none"/>
        </w:tabs>
        <w:rPr>
          <w:color w:val="000000"/>
        </w:rPr>
      </w:pPr>
      <w:r>
        <w:rPr>
          <w:color w:val="000000"/>
        </w:rPr>
      </w:r>
      <w:r/>
    </w:p>
    <w:p>
      <w:pPr>
        <w:pStyle w:val="1190"/>
      </w:pPr>
      <w:r>
        <w:t xml:space="preserve">Правовое управление</w:t>
      </w:r>
      <w:r/>
    </w:p>
    <w:p>
      <w:pPr>
        <w:pStyle w:val="1190"/>
        <w:tabs>
          <w:tab w:val="left" w:pos="7655" w:leader="none"/>
        </w:tabs>
      </w:pPr>
      <w:r>
        <w:t xml:space="preserve">администрации Чернянского района</w:t>
        <w:tab/>
        <w:t xml:space="preserve"> Э.Н. Стрекозов</w:t>
      </w:r>
      <w:r/>
    </w:p>
    <w:p>
      <w:pPr>
        <w:pStyle w:val="1190"/>
        <w:contextualSpacing/>
        <w:spacing w:before="0" w:after="0"/>
      </w:pPr>
      <w:r/>
      <w:r/>
    </w:p>
    <w:p>
      <w:pPr>
        <w:pStyle w:val="1190"/>
        <w:contextualSpacing/>
        <w:spacing w:before="0" w:after="0"/>
      </w:pPr>
      <w:r/>
      <w:r/>
    </w:p>
    <w:p>
      <w:pPr>
        <w:pStyle w:val="1190"/>
        <w:contextualSpacing/>
        <w:jc w:val="both"/>
        <w:spacing w:before="0" w:after="0"/>
      </w:pPr>
      <w:r>
        <w:rPr>
          <w:b/>
        </w:rPr>
        <w:t xml:space="preserve">Процедура анализа проекта нормативного правового акта на предмет его влияния на конкуренцию соблюдена</w:t>
      </w:r>
      <w:r>
        <w:t xml:space="preserve">:</w:t>
      </w:r>
      <w:r/>
    </w:p>
    <w:p>
      <w:pPr>
        <w:pStyle w:val="1190"/>
        <w:contextualSpacing/>
        <w:jc w:val="both"/>
        <w:spacing w:before="0" w:after="0"/>
      </w:pPr>
      <w:r/>
      <w:r/>
    </w:p>
    <w:tbl>
      <w:tblPr>
        <w:tblW w:w="0" w:type="auto"/>
        <w:tblInd w:w="-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811"/>
        <w:gridCol w:w="4760"/>
      </w:tblGrid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11" w:type="dxa"/>
            <w:vAlign w:val="top"/>
            <w:textDirection w:val="lrTb"/>
            <w:noWrap w:val="false"/>
          </w:tcPr>
          <w:p>
            <w:pPr>
              <w:pStyle w:val="1190"/>
            </w:pPr>
            <w:r>
              <w:t xml:space="preserve">МКУ «Управления строительства, </w:t>
            </w:r>
            <w:r/>
          </w:p>
          <w:p>
            <w:pPr>
              <w:pStyle w:val="1190"/>
            </w:pPr>
            <w:r>
              <w:t xml:space="preserve">транспорта, связи и ЖКХ» Чернянского района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60" w:type="dxa"/>
            <w:vAlign w:val="top"/>
            <w:textDirection w:val="lrTb"/>
            <w:noWrap w:val="false"/>
          </w:tcPr>
          <w:p>
            <w:pPr>
              <w:pStyle w:val="1190"/>
              <w:jc w:val="right"/>
            </w:pPr>
            <w:r>
              <w:t xml:space="preserve">                                      </w:t>
            </w:r>
            <w:r/>
          </w:p>
          <w:p>
            <w:pPr>
              <w:pStyle w:val="1190"/>
            </w:pPr>
            <w:r/>
            <w:r/>
          </w:p>
          <w:p>
            <w:pPr>
              <w:pStyle w:val="1190"/>
              <w:jc w:val="right"/>
            </w:pPr>
            <w:r>
              <w:t xml:space="preserve">А.Н. Комарович</w:t>
            </w:r>
            <w:r/>
          </w:p>
        </w:tc>
      </w:tr>
    </w:tbl>
    <w:p>
      <w:pPr>
        <w:pStyle w:val="1190"/>
        <w:contextualSpacing/>
        <w:spacing w:before="0" w:after="0"/>
        <w:tabs>
          <w:tab w:val="left" w:pos="9072" w:leader="none"/>
        </w:tabs>
      </w:pPr>
      <w:r/>
      <w:r/>
    </w:p>
    <w:p>
      <w:pPr>
        <w:pStyle w:val="1190"/>
        <w:contextualSpacing/>
        <w:spacing w:before="0" w:after="0"/>
        <w:tabs>
          <w:tab w:val="left" w:pos="9072" w:leader="none"/>
        </w:tabs>
      </w:pPr>
      <w:r/>
      <w:r/>
    </w:p>
    <w:p>
      <w:pPr>
        <w:pStyle w:val="1190"/>
        <w:contextualSpacing/>
        <w:spacing w:before="0" w:after="0"/>
        <w:tabs>
          <w:tab w:val="left" w:pos="9072" w:leader="none"/>
        </w:tabs>
      </w:pPr>
      <w:r/>
      <w:r/>
    </w:p>
    <w:p>
      <w:pPr>
        <w:pStyle w:val="1190"/>
        <w:contextualSpacing/>
        <w:spacing w:before="0" w:after="0"/>
        <w:tabs>
          <w:tab w:val="left" w:pos="9072" w:leader="none"/>
        </w:tabs>
      </w:pPr>
      <w:r/>
      <w:r/>
    </w:p>
    <w:p>
      <w:pPr>
        <w:pStyle w:val="1190"/>
        <w:contextualSpacing/>
        <w:spacing w:before="0" w:after="0"/>
        <w:tabs>
          <w:tab w:val="left" w:pos="9072" w:leader="none"/>
        </w:tabs>
        <w:rPr>
          <w:b/>
        </w:rPr>
      </w:pPr>
      <w:r/>
      <w:bookmarkEnd w:id="0"/>
      <w:r>
        <w:rPr>
          <w:b/>
        </w:rPr>
      </w:r>
      <w:r/>
    </w:p>
    <w:p>
      <w:pPr>
        <w:pStyle w:val="1190"/>
      </w:pPr>
      <w:r>
        <w:rPr>
          <w:b/>
        </w:rPr>
        <w:t xml:space="preserve">Проект документа оформил:</w:t>
      </w:r>
      <w:bookmarkStart w:id="1" w:name="_Hlk26513373"/>
      <w:r/>
      <w:r/>
    </w:p>
    <w:p>
      <w:pPr>
        <w:pStyle w:val="1190"/>
      </w:pPr>
      <w:r>
        <w:rPr>
          <w:u w:val="single"/>
        </w:rPr>
        <w:t xml:space="preserve">______________________ Комарович Александр Николаевич, тел. 5-47-08</w:t>
      </w:r>
      <w:r/>
    </w:p>
    <w:p>
      <w:pPr>
        <w:pStyle w:val="1190"/>
      </w:pPr>
      <w:r>
        <w:t xml:space="preserve">Подпись, фамилия, имя, отчество, рабочий телефон</w:t>
      </w:r>
      <w:bookmarkEnd w:id="1"/>
      <w:r/>
      <w:r/>
    </w:p>
    <w:p>
      <w:pPr>
        <w:pStyle w:val="1190"/>
      </w:pPr>
      <w:r/>
      <w:r/>
    </w:p>
    <w:p>
      <w:pPr>
        <w:pStyle w:val="1234"/>
        <w:ind w:left="0" w:right="0" w:firstLine="709"/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ЛИСТ РАССЫЛКИ</w:t>
      </w:r>
      <w:r/>
    </w:p>
    <w:p>
      <w:pPr>
        <w:pStyle w:val="1234"/>
        <w:ind w:left="0" w:right="0" w:firstLine="709"/>
        <w:jc w:val="center"/>
        <w:tabs>
          <w:tab w:val="left" w:pos="2694" w:leader="none"/>
        </w:tabs>
      </w:pPr>
      <w:r>
        <w:rPr>
          <w:rFonts w:ascii="Times New Roman" w:hAnsi="Times New Roman" w:cs="Times New Roman"/>
          <w:sz w:val="24"/>
          <w:szCs w:val="24"/>
        </w:rPr>
        <w:t xml:space="preserve">постановления администрации</w:t>
      </w:r>
      <w:r/>
    </w:p>
    <w:p>
      <w:pPr>
        <w:pStyle w:val="1234"/>
        <w:ind w:left="0" w:right="0" w:firstLine="709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района «Чернянский район»</w:t>
      </w:r>
      <w:r/>
    </w:p>
    <w:p>
      <w:pPr>
        <w:pStyle w:val="1234"/>
        <w:ind w:left="0" w:right="0" w:firstLine="709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от «___» ____________ 2024 года № _______</w:t>
      </w:r>
      <w:r/>
    </w:p>
    <w:p>
      <w:pPr>
        <w:pStyle w:val="1234"/>
        <w:ind w:left="0" w:right="0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1190"/>
        <w:jc w:val="center"/>
      </w:pPr>
      <w:r>
        <w:rPr>
          <w:b/>
        </w:rPr>
        <w:t xml:space="preserve">О внесении изменений в пост</w:t>
      </w:r>
      <w:r>
        <w:rPr>
          <w:b/>
        </w:rPr>
        <w:t xml:space="preserve">ановление администрации  муниципального района «Чернянский район» Белгородской области от 31.01.2018 года № 52 «Об утверждении муниципальной программы Чернянского района «Совершенствование и развитие транспортной системы и дорожной сети Чернянского района»</w:t>
      </w:r>
      <w:r/>
    </w:p>
    <w:p>
      <w:pPr>
        <w:pStyle w:val="1190"/>
        <w:jc w:val="center"/>
        <w:rPr>
          <w:b/>
        </w:rPr>
      </w:pPr>
      <w:r>
        <w:rPr>
          <w:b/>
        </w:rPr>
      </w:r>
      <w:r/>
    </w:p>
    <w:p>
      <w:pPr>
        <w:pStyle w:val="1190"/>
        <w:contextualSpacing/>
        <w:spacing w:before="0" w:after="0"/>
        <w:rPr>
          <w:b/>
        </w:rPr>
      </w:pPr>
      <w:r>
        <w:rPr>
          <w:b/>
        </w:rPr>
      </w:r>
      <w:r/>
    </w:p>
    <w:p>
      <w:pPr>
        <w:pStyle w:val="1190"/>
        <w:contextualSpacing/>
        <w:spacing w:before="0" w:after="0"/>
        <w:rPr>
          <w:b/>
        </w:rPr>
      </w:pPr>
      <w:r>
        <w:rPr>
          <w:b/>
        </w:rPr>
      </w:r>
      <w:r/>
    </w:p>
    <w:p>
      <w:pPr>
        <w:pStyle w:val="1190"/>
        <w:jc w:val="center"/>
        <w:rPr>
          <w:b/>
        </w:rPr>
      </w:pPr>
      <w:r>
        <w:rPr>
          <w:b/>
        </w:rPr>
      </w:r>
      <w:r/>
    </w:p>
    <w:p>
      <w:pPr>
        <w:pStyle w:val="1190"/>
        <w:contextualSpacing/>
        <w:spacing w:before="0" w:after="0"/>
        <w:tabs>
          <w:tab w:val="left" w:pos="6804" w:leader="none"/>
        </w:tabs>
      </w:pPr>
      <w:r>
        <w:rPr>
          <w:b/>
        </w:rPr>
        <w:t xml:space="preserve">Отпечатано  в  5 – ти   экземплярах:</w:t>
      </w:r>
      <w:r/>
    </w:p>
    <w:p>
      <w:pPr>
        <w:pStyle w:val="1190"/>
        <w:contextualSpacing/>
        <w:spacing w:before="0" w:after="0"/>
        <w:tabs>
          <w:tab w:val="left" w:pos="6804" w:leader="none"/>
        </w:tabs>
        <w:rPr>
          <w:b/>
        </w:rPr>
      </w:pPr>
      <w:r>
        <w:rPr>
          <w:b/>
        </w:rPr>
      </w:r>
      <w:r/>
    </w:p>
    <w:p>
      <w:pPr>
        <w:pStyle w:val="1190"/>
        <w:contextualSpacing/>
        <w:spacing w:before="0" w:after="0"/>
        <w:tabs>
          <w:tab w:val="left" w:pos="6804" w:leader="none"/>
        </w:tabs>
        <w:rPr>
          <w:b/>
        </w:rPr>
      </w:pPr>
      <w:r>
        <w:rPr>
          <w:b/>
        </w:rPr>
      </w:r>
      <w:r/>
    </w:p>
    <w:p>
      <w:pPr>
        <w:pStyle w:val="1190"/>
      </w:pPr>
      <w:r>
        <w:t xml:space="preserve">Дело</w:t>
      </w:r>
      <w:r/>
    </w:p>
    <w:p>
      <w:pPr>
        <w:pStyle w:val="1190"/>
      </w:pPr>
      <w:r/>
      <w:r/>
    </w:p>
    <w:p>
      <w:pPr>
        <w:pStyle w:val="1190"/>
      </w:pPr>
      <w:r>
        <w:t xml:space="preserve">Прокуратура</w:t>
      </w:r>
      <w:r/>
    </w:p>
    <w:p>
      <w:pPr>
        <w:pStyle w:val="119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</w:r>
      <w:r/>
    </w:p>
    <w:p>
      <w:pPr>
        <w:pStyle w:val="1190"/>
      </w:pPr>
      <w:r>
        <w:t xml:space="preserve">МКУ «Управление строительства, транспорта, связи и ЖКХ» (3 экз.)</w:t>
      </w:r>
      <w:r/>
    </w:p>
    <w:p>
      <w:pPr>
        <w:pStyle w:val="1190"/>
        <w:contextualSpacing/>
        <w:spacing w:before="0" w:after="0"/>
      </w:pPr>
      <w:r/>
      <w:r/>
    </w:p>
    <w:p>
      <w:pPr>
        <w:pStyle w:val="1190"/>
        <w:contextualSpacing/>
        <w:ind w:left="0" w:right="-569" w:firstLine="0"/>
        <w:spacing w:before="0" w:after="0"/>
        <w:tabs>
          <w:tab w:val="left" w:pos="7371" w:leader="none"/>
        </w:tabs>
      </w:pPr>
      <w:r/>
      <w:r/>
    </w:p>
    <w:p>
      <w:pPr>
        <w:pStyle w:val="1190"/>
        <w:contextualSpacing/>
        <w:ind w:left="0" w:right="-569" w:firstLine="0"/>
        <w:spacing w:before="0" w:after="0"/>
        <w:tabs>
          <w:tab w:val="left" w:pos="7371" w:leader="none"/>
        </w:tabs>
      </w:pPr>
      <w:r/>
      <w:r/>
    </w:p>
    <w:p>
      <w:pPr>
        <w:pStyle w:val="1190"/>
      </w:pPr>
      <w:r/>
      <w:r/>
    </w:p>
    <w:p>
      <w:pPr>
        <w:pStyle w:val="1190"/>
      </w:pPr>
      <w:r/>
      <w:r/>
    </w:p>
    <w:p>
      <w:pPr>
        <w:pStyle w:val="1190"/>
      </w:pPr>
      <w:r/>
      <w:r/>
    </w:p>
    <w:p>
      <w:pPr>
        <w:pStyle w:val="1190"/>
      </w:pPr>
      <w:r/>
      <w:r/>
    </w:p>
    <w:p>
      <w:pPr>
        <w:pStyle w:val="1190"/>
      </w:pPr>
      <w:r/>
      <w:r/>
    </w:p>
    <w:p>
      <w:pPr>
        <w:pStyle w:val="1190"/>
      </w:pPr>
      <w:r/>
      <w:r/>
    </w:p>
    <w:p>
      <w:pPr>
        <w:pStyle w:val="1190"/>
      </w:pPr>
      <w:r/>
      <w:r/>
    </w:p>
    <w:p>
      <w:pPr>
        <w:pStyle w:val="1190"/>
      </w:pPr>
      <w:r/>
      <w:r/>
    </w:p>
    <w:p>
      <w:pPr>
        <w:pStyle w:val="1190"/>
      </w:pPr>
      <w:r/>
      <w:r/>
    </w:p>
    <w:p>
      <w:pPr>
        <w:pStyle w:val="1190"/>
      </w:pPr>
      <w:r/>
      <w:r/>
    </w:p>
    <w:p>
      <w:pPr>
        <w:pStyle w:val="1190"/>
      </w:pPr>
      <w:r/>
      <w:r/>
    </w:p>
    <w:p>
      <w:pPr>
        <w:pStyle w:val="1190"/>
      </w:pPr>
      <w:r/>
      <w:r/>
    </w:p>
    <w:p>
      <w:pPr>
        <w:pStyle w:val="1190"/>
      </w:pPr>
      <w:r/>
      <w:r/>
    </w:p>
    <w:p>
      <w:pPr>
        <w:pStyle w:val="1190"/>
      </w:pPr>
      <w:r/>
      <w:r/>
    </w:p>
    <w:p>
      <w:pPr>
        <w:pStyle w:val="1190"/>
      </w:pPr>
      <w:r/>
      <w:r/>
    </w:p>
    <w:p>
      <w:pPr>
        <w:pStyle w:val="1190"/>
      </w:pPr>
      <w:r/>
      <w:r/>
    </w:p>
    <w:p>
      <w:pPr>
        <w:pStyle w:val="1190"/>
      </w:pPr>
      <w:r/>
      <w:r/>
    </w:p>
    <w:p>
      <w:pPr>
        <w:pStyle w:val="1190"/>
      </w:pPr>
      <w:r/>
      <w:r/>
    </w:p>
    <w:p>
      <w:pPr>
        <w:pStyle w:val="1190"/>
      </w:pPr>
      <w:r/>
      <w:r/>
    </w:p>
    <w:p>
      <w:pPr>
        <w:pStyle w:val="1190"/>
      </w:pPr>
      <w:r/>
      <w:r/>
    </w:p>
    <w:p>
      <w:pPr>
        <w:pStyle w:val="1190"/>
      </w:pPr>
      <w:r/>
      <w:r/>
    </w:p>
    <w:p>
      <w:pPr>
        <w:pStyle w:val="1190"/>
      </w:pPr>
      <w:r/>
      <w:r/>
    </w:p>
    <w:p>
      <w:pPr>
        <w:pStyle w:val="1190"/>
      </w:pPr>
      <w:r/>
      <w:r/>
    </w:p>
    <w:p>
      <w:pPr>
        <w:pStyle w:val="1190"/>
      </w:pPr>
      <w:r/>
      <w:r/>
    </w:p>
    <w:p>
      <w:pPr>
        <w:pStyle w:val="1190"/>
      </w:pPr>
      <w:r/>
      <w:r/>
    </w:p>
    <w:p>
      <w:pPr>
        <w:pStyle w:val="1190"/>
      </w:pPr>
      <w:r/>
      <w:r/>
    </w:p>
    <w:p>
      <w:pPr>
        <w:pStyle w:val="1190"/>
      </w:pPr>
      <w:r>
        <w:rPr>
          <w:b/>
          <w:bCs/>
        </w:rPr>
        <w:t xml:space="preserve">Лист рассылки оформил:</w:t>
      </w:r>
      <w:r/>
    </w:p>
    <w:p>
      <w:pPr>
        <w:pStyle w:val="1190"/>
        <w:rPr>
          <w:b/>
          <w:bCs/>
        </w:rPr>
      </w:pPr>
      <w:r>
        <w:rPr>
          <w:b/>
          <w:bCs/>
        </w:rPr>
      </w:r>
      <w:r/>
    </w:p>
    <w:p>
      <w:pPr>
        <w:pStyle w:val="1190"/>
        <w:tabs>
          <w:tab w:val="left" w:pos="8931" w:leader="none"/>
        </w:tabs>
      </w:pPr>
      <w:r>
        <w:rPr>
          <w:b/>
          <w:bCs/>
          <w:u w:val="single"/>
        </w:rPr>
        <w:t xml:space="preserve">________________       </w:t>
      </w:r>
      <w:r>
        <w:rPr>
          <w:u w:val="single"/>
        </w:rPr>
        <w:t xml:space="preserve">Комарович Александр Николаевич, тел. 5-47-08</w:t>
      </w:r>
      <w:r/>
    </w:p>
    <w:p>
      <w:pPr>
        <w:pStyle w:val="1190"/>
      </w:pPr>
      <w:r>
        <w:t xml:space="preserve">Подпись, фамилия, имя, отчество, рабочий телефон</w:t>
      </w:r>
      <w:r/>
    </w:p>
    <w:p>
      <w:pPr>
        <w:pStyle w:val="1190"/>
      </w:pPr>
      <w:r/>
      <w:r/>
    </w:p>
    <w:p>
      <w:pPr>
        <w:pStyle w:val="1190"/>
      </w:pPr>
      <w:r/>
      <w:r/>
    </w:p>
    <w:p>
      <w:pPr>
        <w:pStyle w:val="1190"/>
        <w:jc w:val="right"/>
      </w:pPr>
      <w:r>
        <w:rPr>
          <w:b/>
          <w:sz w:val="28"/>
          <w:szCs w:val="28"/>
        </w:rPr>
        <w:t xml:space="preserve">Приложение                                                                                               </w:t>
      </w:r>
      <w:r/>
    </w:p>
    <w:p>
      <w:pPr>
        <w:pStyle w:val="1190"/>
        <w:jc w:val="right"/>
      </w:pPr>
      <w:r>
        <w:rPr>
          <w:b/>
          <w:sz w:val="28"/>
          <w:szCs w:val="28"/>
        </w:rPr>
        <w:t xml:space="preserve">                                                                            </w:t>
      </w:r>
      <w:r>
        <w:rPr>
          <w:b/>
          <w:sz w:val="28"/>
          <w:szCs w:val="28"/>
        </w:rPr>
        <w:t xml:space="preserve">к постановлению администрации    </w:t>
      </w:r>
      <w:r/>
    </w:p>
    <w:p>
      <w:pPr>
        <w:pStyle w:val="1190"/>
        <w:jc w:val="right"/>
      </w:pPr>
      <w:r>
        <w:rPr>
          <w:b/>
          <w:sz w:val="28"/>
          <w:szCs w:val="28"/>
        </w:rPr>
        <w:t xml:space="preserve">                                                                                  </w:t>
      </w:r>
      <w:r>
        <w:rPr>
          <w:b/>
          <w:sz w:val="28"/>
          <w:szCs w:val="28"/>
        </w:rPr>
        <w:t xml:space="preserve">муниципального района  </w:t>
      </w:r>
      <w:r/>
    </w:p>
    <w:p>
      <w:pPr>
        <w:pStyle w:val="1190"/>
        <w:jc w:val="right"/>
      </w:pPr>
      <w:r>
        <w:rPr>
          <w:b/>
          <w:sz w:val="28"/>
          <w:szCs w:val="28"/>
        </w:rPr>
        <w:t xml:space="preserve">                                                                                 </w:t>
      </w:r>
      <w:r>
        <w:rPr>
          <w:b/>
          <w:sz w:val="28"/>
          <w:szCs w:val="28"/>
        </w:rPr>
        <w:t xml:space="preserve">«Чернянский район»</w:t>
      </w:r>
      <w:r/>
    </w:p>
    <w:p>
      <w:pPr>
        <w:pStyle w:val="1190"/>
        <w:jc w:val="right"/>
      </w:pPr>
      <w:r>
        <w:rPr>
          <w:b/>
          <w:sz w:val="28"/>
          <w:szCs w:val="28"/>
        </w:rPr>
        <w:t xml:space="preserve">Белгородской области</w:t>
      </w:r>
      <w:r/>
    </w:p>
    <w:p>
      <w:pPr>
        <w:pStyle w:val="1190"/>
        <w:jc w:val="right"/>
      </w:pPr>
      <w:r>
        <w:rPr>
          <w:b/>
          <w:sz w:val="28"/>
          <w:szCs w:val="28"/>
        </w:rPr>
        <w:t xml:space="preserve">                                                                 </w:t>
      </w:r>
      <w:r>
        <w:rPr>
          <w:b/>
          <w:sz w:val="28"/>
          <w:szCs w:val="28"/>
        </w:rPr>
        <w:t xml:space="preserve">от «27» февраля 2024 г. № 113</w:t>
      </w:r>
      <w:r/>
    </w:p>
    <w:p>
      <w:pPr>
        <w:pStyle w:val="1190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1190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1190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1190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1190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1190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1190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1190"/>
        <w:jc w:val="center"/>
        <w:spacing w:line="480" w:lineRule="auto"/>
      </w:pPr>
      <w:r>
        <w:rPr>
          <w:b/>
          <w:sz w:val="28"/>
          <w:szCs w:val="28"/>
        </w:rPr>
        <w:t xml:space="preserve">Муниципальная программа </w:t>
      </w:r>
      <w:r/>
    </w:p>
    <w:p>
      <w:pPr>
        <w:pStyle w:val="1190"/>
        <w:jc w:val="center"/>
        <w:spacing w:line="480" w:lineRule="auto"/>
      </w:pPr>
      <w:r>
        <w:rPr>
          <w:b/>
          <w:sz w:val="28"/>
          <w:szCs w:val="28"/>
        </w:rPr>
        <w:t xml:space="preserve">«Совершенствование и развитие транспортной системы и</w:t>
      </w:r>
      <w:r/>
    </w:p>
    <w:p>
      <w:pPr>
        <w:pStyle w:val="1190"/>
        <w:jc w:val="center"/>
        <w:spacing w:line="480" w:lineRule="auto"/>
      </w:pPr>
      <w:r>
        <w:rPr>
          <w:b/>
          <w:sz w:val="28"/>
          <w:szCs w:val="28"/>
        </w:rPr>
        <w:t xml:space="preserve">дорожной сети Чернянского района Белгородской области»                                 </w:t>
      </w:r>
      <w:r/>
    </w:p>
    <w:p>
      <w:pPr>
        <w:pStyle w:val="1190"/>
        <w:jc w:val="center"/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1190"/>
        <w:jc w:val="center"/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119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1190"/>
        <w:ind w:left="0" w:right="0"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1190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1190"/>
      </w:pPr>
      <w:r>
        <w:rPr>
          <w:b/>
        </w:rPr>
        <w:t xml:space="preserve">                                                                        </w:t>
      </w:r>
      <w:r/>
    </w:p>
    <w:p>
      <w:pPr>
        <w:pStyle w:val="119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1190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1190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1190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1190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1190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1190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1190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1190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1190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1190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1190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1190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1190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1190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1190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1190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1190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1190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1190"/>
        <w:jc w:val="center"/>
      </w:pPr>
      <w:r>
        <w:rPr>
          <w:b/>
          <w:sz w:val="28"/>
          <w:szCs w:val="28"/>
        </w:rPr>
        <w:t xml:space="preserve">2024  год</w:t>
      </w:r>
      <w:r/>
    </w:p>
    <w:p>
      <w:pPr>
        <w:pStyle w:val="1190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1190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1190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1190"/>
        <w:jc w:val="center"/>
      </w:pPr>
      <w:r>
        <w:rPr>
          <w:b/>
          <w:sz w:val="28"/>
          <w:szCs w:val="28"/>
        </w:rPr>
        <w:t xml:space="preserve">Паспорт</w:t>
      </w:r>
      <w:r/>
    </w:p>
    <w:p>
      <w:pPr>
        <w:pStyle w:val="1190"/>
        <w:jc w:val="center"/>
      </w:pPr>
      <w:r>
        <w:rPr>
          <w:b/>
          <w:sz w:val="28"/>
          <w:szCs w:val="28"/>
        </w:rPr>
        <w:t xml:space="preserve">муниципальной программы Чернянского района</w:t>
      </w:r>
      <w:r/>
    </w:p>
    <w:p>
      <w:pPr>
        <w:pStyle w:val="1190"/>
        <w:jc w:val="center"/>
      </w:pPr>
      <w:r>
        <w:rPr>
          <w:b/>
          <w:sz w:val="28"/>
          <w:szCs w:val="28"/>
        </w:rPr>
        <w:t xml:space="preserve">«Совершенствование и развитие транспортной системы и</w:t>
      </w:r>
      <w:r/>
    </w:p>
    <w:p>
      <w:pPr>
        <w:pStyle w:val="1190"/>
        <w:jc w:val="center"/>
      </w:pPr>
      <w:r>
        <w:rPr>
          <w:b/>
          <w:sz w:val="28"/>
          <w:szCs w:val="28"/>
        </w:rPr>
        <w:t xml:space="preserve">дорожной сети Чернянского района Белгородской области»</w:t>
      </w:r>
      <w:r/>
    </w:p>
    <w:p>
      <w:pPr>
        <w:pStyle w:val="119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tbl>
      <w:tblPr>
        <w:tblW w:w="0" w:type="auto"/>
        <w:tblInd w:w="-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67"/>
        <w:gridCol w:w="3127"/>
        <w:gridCol w:w="6066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7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6"/>
                <w:szCs w:val="26"/>
              </w:rPr>
              <w:t xml:space="preserve">№ </w:t>
            </w:r>
            <w:r>
              <w:rPr>
                <w:sz w:val="26"/>
                <w:szCs w:val="26"/>
              </w:rPr>
              <w:t xml:space="preserve">п/п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6"/>
                <w:szCs w:val="26"/>
              </w:rPr>
              <w:t xml:space="preserve">Наименование муниципальной программы:  «Совершенствование и развитие транспортной системы и дорожной сети Чернянского района Белгородской области» (далее - муниципальная программа)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7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6"/>
                <w:szCs w:val="26"/>
              </w:rPr>
              <w:t xml:space="preserve">1.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27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6"/>
                <w:szCs w:val="26"/>
              </w:rPr>
              <w:t xml:space="preserve">Ответственный исполнитель  муниципальной программы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6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6"/>
                <w:szCs w:val="26"/>
              </w:rPr>
              <w:t xml:space="preserve">МКУ «Управление строительства, транспорта, связи и ЖКХ» Чернянского района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7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6"/>
                <w:szCs w:val="26"/>
              </w:rPr>
              <w:t xml:space="preserve">2.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27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6"/>
                <w:szCs w:val="26"/>
              </w:rPr>
              <w:t xml:space="preserve">Соисполнители  муниципальной программы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6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6"/>
                <w:szCs w:val="26"/>
              </w:rPr>
              <w:t xml:space="preserve">МКУ «Управление строительства, транспорта, связи и ЖКХ» Чернянского района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7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6"/>
                <w:szCs w:val="26"/>
              </w:rPr>
              <w:t xml:space="preserve">3.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27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6"/>
                <w:szCs w:val="26"/>
              </w:rPr>
              <w:t xml:space="preserve">Участники  муниципальной программы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6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6"/>
                <w:szCs w:val="26"/>
              </w:rPr>
              <w:t xml:space="preserve">МКУ «Управление строительства, транспорта, связи и ЖКХ» Чернянского района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7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6"/>
                <w:szCs w:val="26"/>
              </w:rPr>
              <w:t xml:space="preserve">4.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27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6"/>
                <w:szCs w:val="26"/>
              </w:rPr>
              <w:t xml:space="preserve">Подпрограммы муниципальной</w:t>
            </w:r>
            <w:r/>
          </w:p>
          <w:p>
            <w:pPr>
              <w:pStyle w:val="1190"/>
              <w:jc w:val="center"/>
            </w:pPr>
            <w:r>
              <w:rPr>
                <w:sz w:val="26"/>
                <w:szCs w:val="26"/>
              </w:rPr>
              <w:t xml:space="preserve">программы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6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6"/>
                <w:szCs w:val="26"/>
              </w:rPr>
              <w:t xml:space="preserve">1. «Совершенствование и развитие дорожной сети».</w:t>
            </w:r>
            <w:r/>
          </w:p>
          <w:p>
            <w:pPr>
              <w:pStyle w:val="1190"/>
              <w:jc w:val="center"/>
            </w:pPr>
            <w:r>
              <w:rPr>
                <w:sz w:val="26"/>
                <w:szCs w:val="26"/>
              </w:rPr>
              <w:t xml:space="preserve">2. «Совершенствование и развитие транспортной системы».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7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6"/>
                <w:szCs w:val="26"/>
              </w:rPr>
              <w:t xml:space="preserve">5.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27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6"/>
                <w:szCs w:val="26"/>
              </w:rPr>
              <w:t xml:space="preserve">Цель (цели) муниципальной программы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6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6"/>
                <w:szCs w:val="26"/>
              </w:rPr>
              <w:t xml:space="preserve">Создание условий для устойчивого функционирования транспортной системы и дорожной сети Чернянского района  в соответствии с социально-экономическими потребностями населения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7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6"/>
                <w:szCs w:val="26"/>
              </w:rPr>
              <w:t xml:space="preserve">6.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27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6"/>
                <w:szCs w:val="26"/>
              </w:rPr>
              <w:t xml:space="preserve">Задачи муниципальной программы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6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6"/>
                <w:szCs w:val="26"/>
              </w:rPr>
              <w:t xml:space="preserve">1. Сохранность и развитие автодорог  местного  значения, относящихся к улично-дорожной сети населенных пунктов  района,  в соответствии с темпами экономического развития района, ростом уровня автомобилизации и объемов автомобильных перевозок.</w:t>
            </w:r>
            <w:r/>
          </w:p>
          <w:p>
            <w:pPr>
              <w:pStyle w:val="1190"/>
              <w:jc w:val="center"/>
            </w:pPr>
            <w:r>
              <w:rPr>
                <w:sz w:val="26"/>
                <w:szCs w:val="26"/>
              </w:rPr>
              <w:t xml:space="preserve">2. Создание условий для устойчивого функционирования системы пассажирских перевозок в Чернянском районе.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7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6"/>
                <w:szCs w:val="26"/>
              </w:rPr>
              <w:t xml:space="preserve">7.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27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6"/>
                <w:szCs w:val="26"/>
              </w:rPr>
              <w:t xml:space="preserve">Сроки реализации муниципальной программы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6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6"/>
                <w:szCs w:val="26"/>
              </w:rPr>
              <w:t xml:space="preserve">2015-2026 годы</w:t>
            </w:r>
            <w:r/>
          </w:p>
          <w:p>
            <w:pPr>
              <w:pStyle w:val="1190"/>
              <w:jc w:val="center"/>
            </w:pPr>
            <w:r>
              <w:rPr>
                <w:sz w:val="26"/>
                <w:szCs w:val="26"/>
              </w:rPr>
              <w:t xml:space="preserve">муниципальная программа реализуется в 2 этапа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7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6"/>
                <w:szCs w:val="26"/>
              </w:rPr>
              <w:t xml:space="preserve">8.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27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6"/>
                <w:szCs w:val="26"/>
              </w:rPr>
              <w:t xml:space="preserve">Общий объем бюджетных ассигнований</w:t>
            </w:r>
            <w:r/>
          </w:p>
          <w:p>
            <w:pPr>
              <w:pStyle w:val="1190"/>
              <w:jc w:val="center"/>
            </w:pPr>
            <w:r>
              <w:rPr>
                <w:sz w:val="26"/>
                <w:szCs w:val="26"/>
              </w:rPr>
              <w:t xml:space="preserve">муниципальной программы, в том числе за счет средств местного бюджета (с расшифровкой плановых объемов бюджетных ассигнований по годам ее реализации), а также прогнозный объем средств, привлекаемых из других источников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6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6"/>
                <w:szCs w:val="26"/>
              </w:rPr>
              <w:t xml:space="preserve">Планируемый общий объем финансирования муниципальной программы в 2015-2026 годах за счет всех источников финансирования составит              831 441,4 тыс. рублей.</w:t>
            </w:r>
            <w:r/>
          </w:p>
          <w:p>
            <w:pPr>
              <w:pStyle w:val="1190"/>
            </w:pPr>
            <w:r>
              <w:rPr>
                <w:sz w:val="26"/>
                <w:szCs w:val="26"/>
              </w:rPr>
              <w:t xml:space="preserve">Объем финансирования муниципальной программы в 2015-2026 годах за счет средств районного бюджета составит 358 457,3 тыс. рублей, в том числе по годам:</w:t>
            </w:r>
            <w:r/>
          </w:p>
          <w:p>
            <w:pPr>
              <w:pStyle w:val="1190"/>
            </w:pPr>
            <w:r>
              <w:rPr>
                <w:sz w:val="26"/>
                <w:szCs w:val="26"/>
              </w:rPr>
              <w:t xml:space="preserve">2015 год – 22 362 тыс. рублей;</w:t>
            </w:r>
            <w:r/>
          </w:p>
          <w:p>
            <w:pPr>
              <w:pStyle w:val="1190"/>
            </w:pPr>
            <w:r>
              <w:rPr>
                <w:sz w:val="26"/>
                <w:szCs w:val="26"/>
              </w:rPr>
              <w:t xml:space="preserve">2016 год – 24 991 тыс. рублей;</w:t>
            </w:r>
            <w:r/>
          </w:p>
          <w:p>
            <w:pPr>
              <w:pStyle w:val="1190"/>
            </w:pPr>
            <w:r>
              <w:rPr>
                <w:sz w:val="26"/>
                <w:szCs w:val="26"/>
              </w:rPr>
              <w:t xml:space="preserve">2017 год – 25 280 тыс. рублей;</w:t>
            </w:r>
            <w:r/>
          </w:p>
          <w:p>
            <w:pPr>
              <w:pStyle w:val="1190"/>
            </w:pPr>
            <w:r>
              <w:rPr>
                <w:sz w:val="26"/>
                <w:szCs w:val="26"/>
              </w:rPr>
              <w:t xml:space="preserve">2018 год – 28 714 тыс. рублей;</w:t>
            </w:r>
            <w:r/>
          </w:p>
          <w:p>
            <w:pPr>
              <w:pStyle w:val="1190"/>
            </w:pPr>
            <w:r>
              <w:rPr>
                <w:sz w:val="26"/>
                <w:szCs w:val="26"/>
              </w:rPr>
              <w:t xml:space="preserve">2019 год – 34 541 тыс. рублей;</w:t>
            </w:r>
            <w:r/>
          </w:p>
          <w:p>
            <w:pPr>
              <w:pStyle w:val="1190"/>
            </w:pPr>
            <w:r>
              <w:rPr>
                <w:sz w:val="26"/>
                <w:szCs w:val="26"/>
              </w:rPr>
              <w:t xml:space="preserve">2020 год – 40 671 тыс. рублей;</w:t>
            </w:r>
            <w:r/>
          </w:p>
          <w:p>
            <w:pPr>
              <w:pStyle w:val="1190"/>
            </w:pPr>
            <w:r>
              <w:rPr>
                <w:sz w:val="26"/>
                <w:szCs w:val="26"/>
              </w:rPr>
              <w:t xml:space="preserve">2021 год – 32 490,6 тыс. рублей;</w:t>
            </w:r>
            <w:r/>
          </w:p>
          <w:p>
            <w:pPr>
              <w:pStyle w:val="1190"/>
            </w:pPr>
            <w:r>
              <w:rPr>
                <w:sz w:val="26"/>
                <w:szCs w:val="26"/>
              </w:rPr>
              <w:t xml:space="preserve">2022 год – 34 220,5 тыс. рублей;</w:t>
            </w:r>
            <w:r/>
          </w:p>
          <w:p>
            <w:pPr>
              <w:pStyle w:val="1190"/>
            </w:pPr>
            <w:r>
              <w:rPr>
                <w:sz w:val="26"/>
                <w:szCs w:val="26"/>
              </w:rPr>
              <w:t xml:space="preserve">2023 год – 33 291,4 тыс. рублей;</w:t>
            </w:r>
            <w:r/>
          </w:p>
          <w:p>
            <w:pPr>
              <w:pStyle w:val="1190"/>
            </w:pPr>
            <w:r>
              <w:rPr>
                <w:sz w:val="26"/>
                <w:szCs w:val="26"/>
              </w:rPr>
              <w:t xml:space="preserve">2024 год – 35 050,8 тыс. рублей;</w:t>
            </w:r>
            <w:r/>
          </w:p>
          <w:p>
            <w:pPr>
              <w:pStyle w:val="1190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</w:rPr>
              <w:t xml:space="preserve">2025 год – 32 445 тыс. рублей;</w:t>
            </w:r>
            <w:r/>
          </w:p>
          <w:p>
            <w:r>
              <w:rPr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</w:rPr>
              <w:t xml:space="preserve">2026 год – 14 400 тыс. рублей</w:t>
            </w:r>
            <w:r>
              <w:rPr>
                <w:sz w:val="26"/>
                <w:szCs w:val="26"/>
                <w:highlight w:val="none"/>
              </w:rPr>
            </w:r>
            <w:r/>
          </w:p>
          <w:p>
            <w:pPr>
              <w:pStyle w:val="1228"/>
              <w:jc w:val="left"/>
              <w:spacing w:line="240" w:lineRule="auto"/>
              <w:shd w:val="clear" w:color="auto" w:fill="auto"/>
              <w:tabs>
                <w:tab w:val="left" w:pos="634" w:leader="none"/>
              </w:tabs>
              <w:rPr>
                <w:sz w:val="26"/>
                <w:szCs w:val="26"/>
                <w:highlight w:val="white"/>
              </w:rPr>
            </w:pPr>
            <w:r>
              <w:rPr>
                <w:color w:val="000000"/>
                <w:sz w:val="26"/>
                <w:szCs w:val="26"/>
                <w:highlight w:val="white"/>
                <w:lang w:val="ru-RU" w:eastAsia="en-US"/>
              </w:rPr>
              <w:t xml:space="preserve">Объем финансирования муниципальной программы в 2015 - 2026 годах за счет средств областного бюджета </w:t>
            </w:r>
            <w:r>
              <w:rPr>
                <w:sz w:val="26"/>
                <w:szCs w:val="26"/>
                <w:highlight w:val="white"/>
                <w:lang w:val="ru-RU" w:eastAsia="en-US"/>
              </w:rPr>
              <w:t xml:space="preserve">составит  - 472 984,1  тыс.  рублей.</w:t>
            </w:r>
            <w:r>
              <w:rPr>
                <w:highlight w:val="white"/>
              </w:rPr>
            </w:r>
            <w:r/>
          </w:p>
          <w:p>
            <w:pPr>
              <w:pStyle w:val="1190"/>
              <w:rPr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2015 год – 0 тыс. рублей;</w:t>
            </w:r>
            <w:r>
              <w:rPr>
                <w:highlight w:val="white"/>
              </w:rPr>
            </w:r>
            <w:r/>
          </w:p>
          <w:p>
            <w:pPr>
              <w:pStyle w:val="1190"/>
              <w:rPr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2016 год – 0 тыс. рублей;</w:t>
            </w:r>
            <w:r>
              <w:rPr>
                <w:highlight w:val="white"/>
              </w:rPr>
            </w:r>
            <w:r/>
          </w:p>
          <w:p>
            <w:pPr>
              <w:pStyle w:val="1190"/>
              <w:rPr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2017 год – 0 тыс. рублей;</w:t>
            </w:r>
            <w:r>
              <w:rPr>
                <w:highlight w:val="white"/>
              </w:rPr>
            </w:r>
            <w:r/>
          </w:p>
          <w:p>
            <w:pPr>
              <w:pStyle w:val="1190"/>
              <w:rPr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2018 год – 15 478 тыс. рублей;</w:t>
            </w:r>
            <w:r>
              <w:rPr>
                <w:highlight w:val="white"/>
              </w:rPr>
            </w:r>
            <w:r/>
          </w:p>
          <w:p>
            <w:pPr>
              <w:pStyle w:val="1190"/>
              <w:rPr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2019 год –  116 800 тыс. рублей;</w:t>
            </w:r>
            <w:r>
              <w:rPr>
                <w:highlight w:val="white"/>
              </w:rPr>
            </w:r>
            <w:r/>
          </w:p>
          <w:p>
            <w:pPr>
              <w:pStyle w:val="1190"/>
              <w:rPr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2020 год – 69 034,5 тыс. рублей;</w:t>
            </w:r>
            <w:r>
              <w:rPr>
                <w:highlight w:val="white"/>
              </w:rPr>
            </w:r>
            <w:r/>
          </w:p>
          <w:p>
            <w:pPr>
              <w:pStyle w:val="1190"/>
              <w:rPr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2021 год – 85 160.8 тыс. рублей;</w:t>
            </w:r>
            <w:r>
              <w:rPr>
                <w:highlight w:val="white"/>
              </w:rPr>
            </w:r>
            <w:r/>
          </w:p>
          <w:p>
            <w:pPr>
              <w:pStyle w:val="1190"/>
              <w:rPr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2022 год – 46 236,1 тыс. рублей;</w:t>
            </w:r>
            <w:r>
              <w:rPr>
                <w:highlight w:val="white"/>
              </w:rPr>
            </w:r>
            <w:r/>
          </w:p>
          <w:p>
            <w:pPr>
              <w:pStyle w:val="1190"/>
              <w:rPr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2023 год – 64 048,2 тыс. рублей;</w:t>
            </w:r>
            <w:r>
              <w:rPr>
                <w:highlight w:val="white"/>
              </w:rPr>
            </w:r>
            <w:r/>
          </w:p>
          <w:p>
            <w:pPr>
              <w:pStyle w:val="1190"/>
              <w:rPr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2024 год – 75 950,3 тыс. рублей;</w:t>
            </w:r>
            <w:r>
              <w:rPr>
                <w:highlight w:val="white"/>
              </w:rPr>
            </w:r>
            <w:r/>
          </w:p>
          <w:p>
            <w:pPr>
              <w:pStyle w:val="1190"/>
              <w:rPr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2025 год – 138,1 тыс. рублей;</w:t>
            </w:r>
            <w:r>
              <w:rPr>
                <w:highlight w:val="white"/>
              </w:rPr>
            </w:r>
            <w:r/>
          </w:p>
          <w:p>
            <w:pPr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  <w:t xml:space="preserve">2026 год – 138,1 тыс. рублей</w:t>
            </w:r>
            <w:r>
              <w:rPr>
                <w:highlight w:val="white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7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6"/>
                <w:szCs w:val="26"/>
              </w:rPr>
              <w:t xml:space="preserve">9.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27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6"/>
                <w:szCs w:val="26"/>
              </w:rPr>
              <w:t xml:space="preserve">Показатели конечного результата реализации муниципальной программы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66" w:type="dxa"/>
            <w:vAlign w:val="center"/>
            <w:textDirection w:val="lrTb"/>
            <w:noWrap w:val="false"/>
          </w:tcPr>
          <w:p>
            <w:pPr>
              <w:pStyle w:val="1190"/>
            </w:pPr>
            <w:r>
              <w:rPr>
                <w:sz w:val="26"/>
                <w:szCs w:val="26"/>
              </w:rPr>
              <w:t xml:space="preserve">К 2027 году планируется:</w:t>
            </w:r>
            <w:r/>
          </w:p>
          <w:p>
            <w:pPr>
              <w:pStyle w:val="1190"/>
            </w:pPr>
            <w:r>
              <w:rPr>
                <w:sz w:val="26"/>
                <w:szCs w:val="26"/>
              </w:rPr>
              <w:t xml:space="preserve">1</w:t>
            </w:r>
            <w:r>
              <w:rPr>
                <w:sz w:val="26"/>
                <w:szCs w:val="26"/>
              </w:rPr>
              <w:t xml:space="preserve">.Увеличение доли автомобильных дорог  местного  значения, относящихся к улично-дорожной сети населенных пунктов  района, отвечающих нормативным требованиям в общей протяженности автомобильных дорог, относящихся  к улично-дорожной  сети до 95,2 процентов.</w:t>
            </w:r>
            <w:r/>
          </w:p>
          <w:p>
            <w:pPr>
              <w:pStyle w:val="1190"/>
            </w:pPr>
            <w:r>
              <w:rPr>
                <w:sz w:val="26"/>
                <w:szCs w:val="26"/>
              </w:rPr>
              <w:t xml:space="preserve">2.Увеличение густоты автомобильных дорог, относящихся к улично-дорожной сети населенных пунктов района   с твердым покрытием на 1000 кв. км территории до 333,3 км.</w:t>
            </w:r>
            <w:r/>
          </w:p>
          <w:p>
            <w:pPr>
              <w:pStyle w:val="1190"/>
            </w:pPr>
            <w:r>
              <w:rPr>
                <w:sz w:val="26"/>
                <w:szCs w:val="26"/>
              </w:rPr>
              <w:t xml:space="preserve">3.Увеличение общей протяженности построенных автомобильных дорог местного значения, относящихся к улично-дорожной сети населенных пунктов района и в микрорайонах массовой жилищной застройки с твердым покрытием на 18,139 км.</w:t>
            </w:r>
            <w:r/>
          </w:p>
          <w:p>
            <w:pPr>
              <w:pStyle w:val="1190"/>
            </w:pPr>
            <w:r>
              <w:rPr>
                <w:sz w:val="26"/>
                <w:szCs w:val="26"/>
              </w:rPr>
              <w:t xml:space="preserve">4.Увеличение общей протяженности отремонтированных дорог местного значения, относящихся к улично-дорожной сети населенных пунктов района на 70 км.</w:t>
            </w:r>
            <w:r/>
          </w:p>
          <w:p>
            <w:pPr>
              <w:pStyle w:val="1190"/>
              <w:contextualSpacing/>
              <w:ind w:left="-20" w:right="0" w:firstLine="0"/>
              <w:spacing w:before="0" w:after="0"/>
              <w:tabs>
                <w:tab w:val="left" w:pos="263" w:leader="none"/>
              </w:tabs>
            </w:pPr>
            <w:r>
              <w:rPr>
                <w:sz w:val="26"/>
                <w:szCs w:val="26"/>
              </w:rPr>
              <w:t xml:space="preserve">5. Рост пассажирооборота транспортом                   общего пользования до 11,8 млн. пасс.-км</w:t>
            </w:r>
            <w:r/>
          </w:p>
        </w:tc>
      </w:tr>
    </w:tbl>
    <w:p>
      <w:pPr>
        <w:pStyle w:val="1190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pStyle w:val="1190"/>
        <w:jc w:val="center"/>
      </w:pPr>
      <w:r>
        <w:rPr>
          <w:b/>
          <w:sz w:val="26"/>
          <w:szCs w:val="26"/>
        </w:rPr>
        <w:t xml:space="preserve">1. Общая характеристика сферы реализации </w:t>
      </w:r>
      <w:r/>
    </w:p>
    <w:p>
      <w:pPr>
        <w:pStyle w:val="1190"/>
        <w:jc w:val="center"/>
      </w:pPr>
      <w:r>
        <w:rPr>
          <w:b/>
          <w:sz w:val="26"/>
          <w:szCs w:val="26"/>
        </w:rPr>
        <w:t xml:space="preserve">муниципальной программы, в том числе формулировки </w:t>
      </w:r>
      <w:r/>
    </w:p>
    <w:p>
      <w:pPr>
        <w:pStyle w:val="1190"/>
        <w:jc w:val="center"/>
      </w:pPr>
      <w:r>
        <w:rPr>
          <w:b/>
          <w:sz w:val="26"/>
          <w:szCs w:val="26"/>
        </w:rPr>
        <w:t xml:space="preserve">основных проблем в указанной сфере и прогноз её развития</w:t>
      </w:r>
      <w:r/>
    </w:p>
    <w:p>
      <w:pPr>
        <w:pStyle w:val="1190"/>
        <w:ind w:left="0" w:right="0" w:firstLine="54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Транспорт явля</w:t>
      </w:r>
      <w:r>
        <w:rPr>
          <w:sz w:val="26"/>
          <w:szCs w:val="26"/>
        </w:rPr>
        <w:t xml:space="preserve">ется важнейшей составной частью производственной и социальной инфраструктуры Чернянского района. Наряду с другими отраслями, он обеспечивает базовые условия жизнедеятельности общества, являясь важным инструментом достижения социальных, экономических целей.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Транспорт - не только отрасль, перемещающая грузы и людей, это, в первую очередь, межотраслевая логистическая система, </w:t>
      </w:r>
      <w:r>
        <w:rPr>
          <w:sz w:val="26"/>
          <w:szCs w:val="26"/>
        </w:rPr>
        <w:t xml:space="preserve">влияющая на условия жизнедеятельности и хозяйствования. Возможность беспрепятственно, качественно и надежно осуществлять перевозки становится определяющей при принятии решения об инвестировании перспективных проектов и создании различного рода производств.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На территории  Чернянского района сложилась достаточно плотная автомобильная транспортная сеть. Через Чернянский</w:t>
      </w:r>
      <w:r>
        <w:rPr>
          <w:sz w:val="26"/>
          <w:szCs w:val="26"/>
        </w:rPr>
        <w:t xml:space="preserve"> район проходят автомобильные магистрали «Белгород - Красное», «Белгород - Ростов», «Белгород - Лиски», «Воронеж-Белгород», «Губкин-Валуйки», «Курск-Павловск». По ним осуществляются как местные, так и межрегиональные и международные транспортные перевозки.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Автобусным пассажирским  транспортом  в 2023 году перевезено  480 тыс. человек, пассажирооборот составил 11,6 тыс.  пассажиро-км. 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Автомобильным транспортом в 2023 году перевезено 190 тыс. тонн грузов, грузооборот  составил 165 тонно-км.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В транспортной отрасли работает  250  человек. 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Автомобильный пассажирский транспорт является основным связующим видом транспорта  для Чернянского района.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Все населенные пункты района имеют автобусное сообщение с районным центром, межмуниципальные  автобусные маршруты связывают район с областным центром. С автостанц</w:t>
      </w:r>
      <w:r>
        <w:rPr>
          <w:sz w:val="26"/>
          <w:szCs w:val="26"/>
        </w:rPr>
        <w:t xml:space="preserve">ии п. Чернянка  осуществляется продажа билетов на автобусы в направлении  городов Белгород, Воронеж, Алексеевка, Бирюч, Старый Оскол, Новый Оскол, Валуйки, Курск, Павловск Губкин,  Шебекино, Ростов-на-Дону, Лиски, Елец, Россошь, поселков Ровеньки, Красное.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В то же время состояние транспортного комплекса района нельзя считать оптимальным, а уровень развития транспорта достаточным.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Поэтому важнейшим элементо</w:t>
      </w:r>
      <w:r>
        <w:rPr>
          <w:sz w:val="26"/>
          <w:szCs w:val="26"/>
        </w:rPr>
        <w:t xml:space="preserve">м транспортной системы района, обеспечивающим условия единства экономического пространства, свободного перемещения товаров и услуг, конкуренции и свободы экономической деятельности, улучшения условий и уровня жизни населения, являются автомобильные дороги.</w:t>
      </w:r>
      <w:r/>
    </w:p>
    <w:p>
      <w:pPr>
        <w:pStyle w:val="1190"/>
        <w:jc w:val="both"/>
      </w:pPr>
      <w:r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Неудовлетворительное транспортно-эксплуатационное состояние большинства автомобильных дорог района приводит к росту транспортных издержек   и   снижению   скорости   доставки   грузов   и   пассажиров.   </w:t>
      </w:r>
      <w:r/>
    </w:p>
    <w:p>
      <w:pPr>
        <w:pStyle w:val="1190"/>
        <w:jc w:val="both"/>
      </w:pPr>
      <w:r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Рост транспортных издержек ведет, в свою очередь, к снижению конкурентоспособности произведенной продукции, что является сдерживающим фактором для развития экономики района.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Из-за отсутствия дорог с твердым покрытием 14 населенных пунктов района, в которых проживает порядка 984 человек, н</w:t>
      </w:r>
      <w:r>
        <w:rPr>
          <w:sz w:val="26"/>
          <w:szCs w:val="26"/>
        </w:rPr>
        <w:t xml:space="preserve">е имеют круглогодичной транспортной связи с районным центром. Ограниченность транспортной доступности сельских населенных пунктов приводит к отсутствию возможности предоставления необходимых социальных услуг, квалифицированной медицинской помощи населению.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Остается низким уровень безопасности на автомобильном транспорте. Изношенность и недостаточная прочность дорожного покрытия способствуют повышению уровня аварийности. 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В связи с неудовлетворительным состоянием и темпами </w:t>
      </w:r>
      <w:r>
        <w:rPr>
          <w:sz w:val="26"/>
          <w:szCs w:val="26"/>
        </w:rPr>
        <w:t xml:space="preserve">развития автомобильных дорог и улично-дорожной сети возникают заторы на автомобильных дорогах, уменьшается скорость движения транспорта, что приводит к ухудшению экологической обстановки. Кроме этого, ужесточение требований безопасности дорожного движения,</w:t>
      </w:r>
      <w:r>
        <w:rPr>
          <w:sz w:val="26"/>
          <w:szCs w:val="26"/>
        </w:rPr>
        <w:t xml:space="preserve"> особенно в зимнее время, влечет загрязнение придорожных территорий химическими веществами, используемыми для борьбы с зимней скользкостью. Таким образом, важнейшей проблемой в развитии транспортной системы Чернянского района является отставание в развитии</w:t>
      </w:r>
      <w:r>
        <w:rPr>
          <w:sz w:val="26"/>
          <w:szCs w:val="26"/>
        </w:rPr>
        <w:t xml:space="preserve"> дорожной сети от потребностей экономики и населения, что выражается в высокой степени износа и несоответствии современным техническим требованиям существующей сети автомобильных дорог общего пользования местного значения и искусственных сооружений на них.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Настоящая муниципальная программа призвана создать необходимые условия для решения основных проблем транспортной системы и дорожной сети Чернянского района и достижения современной и эффективной работы транспортной инфраструктуры.</w:t>
      </w:r>
      <w:r/>
    </w:p>
    <w:p>
      <w:pPr>
        <w:pStyle w:val="119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pStyle w:val="1190"/>
        <w:jc w:val="center"/>
      </w:pPr>
      <w:r>
        <w:rPr>
          <w:b/>
          <w:sz w:val="26"/>
          <w:szCs w:val="26"/>
        </w:rPr>
        <w:t xml:space="preserve">2. Приоритеты  муниципальной политики в сфере реализации</w:t>
      </w:r>
      <w:r/>
    </w:p>
    <w:p>
      <w:pPr>
        <w:pStyle w:val="1190"/>
        <w:jc w:val="center"/>
      </w:pPr>
      <w:r>
        <w:rPr>
          <w:b/>
          <w:sz w:val="26"/>
          <w:szCs w:val="26"/>
        </w:rPr>
        <w:t xml:space="preserve">муниципальной программы, цели, задачи и описание показателей</w:t>
      </w:r>
      <w:r/>
    </w:p>
    <w:p>
      <w:pPr>
        <w:pStyle w:val="1190"/>
        <w:jc w:val="center"/>
      </w:pPr>
      <w:r>
        <w:rPr>
          <w:b/>
          <w:sz w:val="26"/>
          <w:szCs w:val="26"/>
        </w:rPr>
        <w:t xml:space="preserve">конечного результата  реализации муниципальной программы, сроков</w:t>
      </w:r>
      <w:r/>
    </w:p>
    <w:p>
      <w:pPr>
        <w:pStyle w:val="1190"/>
        <w:jc w:val="center"/>
      </w:pPr>
      <w:r>
        <w:rPr>
          <w:b/>
          <w:sz w:val="26"/>
          <w:szCs w:val="26"/>
        </w:rPr>
        <w:t xml:space="preserve">реализации  муниципальной программы</w:t>
      </w:r>
      <w:r/>
    </w:p>
    <w:p>
      <w:pPr>
        <w:pStyle w:val="1190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Приоритеты муниципальной политики в сфере реализации муниципальной программы определены в Стратегии социально-экономическо</w:t>
      </w:r>
      <w:r>
        <w:rPr>
          <w:sz w:val="26"/>
          <w:szCs w:val="26"/>
        </w:rPr>
        <w:t xml:space="preserve">го развития Чернянского района на период до 2025 года. В соответствии с данным документом одной из стратегических задач является повышение конкурентоспособности продукции, товаров и услуг  товаропроизводителей района, модернизации существующих производств.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Таким образом, и</w:t>
      </w:r>
      <w:r>
        <w:rPr>
          <w:sz w:val="26"/>
          <w:szCs w:val="26"/>
        </w:rPr>
        <w:t xml:space="preserve">сходя из обозначенной стратегической задачи, целью муниципальной программы является создание условий для устойчивого функционирования транспортной системы и дорожной сети Чернянского района в соответствии с социально-экономическими потребностями населения.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Для достижения указанной цели необходимо решить следующие задачи: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1) сохранность и развитие автомобильных дорог  местного значения, относящихся к улично-дорожной сети населенных пунктов района в соответствии с темпами экономического развития района, ростом уровня автомобилизации и объемов автомобильных перевозок;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2) создание условий для устойчивого функционирования системы пассажирских перевозок в Чернянском районе;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Реализация муниципальной программы предусмотрена на 2015-2026 годы.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В результате реализации мероприятий  муниципальной программы к 2027 году: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1) доля автомобильных дорог  местного  значения, относящихся к улично-дорожной сети населенных пунктов района, отвечающих нормативным требованиям в общей протяженности автомобильных дорог, относящихся к улично-дорожной сети  увеличится до  95,2 %;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2) густота автомобильных дорог, относящихся к улично-дорожной сети населенных пунктов района  с твердым покрытием на 1000 кв. км территории увеличится до 333,3 км;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3) общая протяженность построенных автомобильных дорог местного значения, относящихся к улично-дорожной сети населенных пунктов района и в микрорайонах массовой жилищной застройки с твердым покрытием увеличится на 18,139 км;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4) общая протяженность отремонтированных дорог местного значения, относящихся к улично-дорожной сети населенных пунктов района увеличится на 70 км.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5) Рост пассажирооборота транспортом общего пользования до 11,8 млн. пасс.-км.</w:t>
      </w:r>
      <w:r/>
    </w:p>
    <w:p>
      <w:pPr>
        <w:pStyle w:val="1190"/>
        <w:jc w:val="both"/>
        <w:widowControl w:val="off"/>
      </w:pPr>
      <w:r>
        <w:rPr>
          <w:sz w:val="26"/>
          <w:szCs w:val="26"/>
        </w:rPr>
        <w:t xml:space="preserve">Показатели конечного результата реализации муниципальной программы по годам реализации, показатели коне</w:t>
      </w:r>
      <w:r>
        <w:rPr>
          <w:sz w:val="26"/>
          <w:szCs w:val="26"/>
        </w:rPr>
        <w:t xml:space="preserve">чного и непосредственного результатов подпрограмм представлены в приложении № 1 «Система основных мероприятий и показателей муниципальной программы «Совершенствование и развитие транспортной системы и дорожной сети Чернянского района Белгородской области»»</w:t>
      </w:r>
      <w:r>
        <w:rPr>
          <w:b/>
          <w:sz w:val="28"/>
          <w:szCs w:val="28"/>
        </w:rPr>
        <w:t xml:space="preserve"> </w:t>
      </w:r>
      <w:r>
        <w:rPr>
          <w:sz w:val="26"/>
          <w:szCs w:val="26"/>
        </w:rPr>
        <w:t xml:space="preserve">к муниципальной программе.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Перечень мероприятий подпрограмм, а также сроки и этапы их реализации подлежат ежегодной корректировке в соответствии с достигнутыми результатами в предшествующий период реализации муниципальной программы.</w:t>
      </w:r>
      <w:r/>
    </w:p>
    <w:p>
      <w:pPr>
        <w:pStyle w:val="1190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pStyle w:val="1190"/>
        <w:jc w:val="center"/>
      </w:pPr>
      <w:r>
        <w:rPr>
          <w:b/>
          <w:sz w:val="26"/>
          <w:szCs w:val="26"/>
        </w:rPr>
        <w:t xml:space="preserve">3. Перечень нормативных правовых актов Чернянского района,</w:t>
      </w:r>
      <w:r/>
    </w:p>
    <w:p>
      <w:pPr>
        <w:pStyle w:val="1190"/>
        <w:jc w:val="center"/>
      </w:pPr>
      <w:r>
        <w:rPr>
          <w:b/>
          <w:sz w:val="26"/>
          <w:szCs w:val="26"/>
        </w:rPr>
        <w:t xml:space="preserve">принятие или изменение которых, необходимо для реализации  муниципальной программы</w:t>
      </w:r>
      <w:r/>
    </w:p>
    <w:p>
      <w:pPr>
        <w:pStyle w:val="119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pStyle w:val="1190"/>
        <w:ind w:left="0" w:right="0" w:firstLine="54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Перечень нормативно-правовых актов Чернянского района, принятие или изменение которых необходимо для реализации муниципальной  программы, представлен в приложении № 2 к муниципальной программе.</w:t>
      </w:r>
      <w:r/>
    </w:p>
    <w:p>
      <w:pPr>
        <w:pStyle w:val="119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pStyle w:val="1190"/>
        <w:jc w:val="center"/>
      </w:pPr>
      <w:r>
        <w:rPr>
          <w:b/>
          <w:sz w:val="26"/>
          <w:szCs w:val="26"/>
        </w:rPr>
        <w:t xml:space="preserve">4. Обоснование выделения подпрограмм</w:t>
      </w:r>
      <w:r/>
    </w:p>
    <w:p>
      <w:pPr>
        <w:pStyle w:val="1190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Система подпрограмм  муниципальной программы сформирована таким образом, чтобы достигнуть цели и</w:t>
      </w:r>
      <w:r>
        <w:rPr>
          <w:sz w:val="26"/>
          <w:szCs w:val="26"/>
        </w:rPr>
        <w:t xml:space="preserve"> обеспечить решение задач муниципальной программы, и включает в себя две подпрограммы, содержащие основные мероприятия, направленные на решение поставленных задач в сфере совершенствования и развития транспортной системы и дорожной сети Чернянского района.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В состав  муниципальной программы включены следующие подпрограммы:</w:t>
      </w:r>
      <w:r/>
    </w:p>
    <w:p>
      <w:pPr>
        <w:pStyle w:val="1190"/>
        <w:ind w:left="0" w:right="0" w:firstLine="540"/>
        <w:jc w:val="both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1190"/>
        <w:ind w:left="0" w:right="0" w:firstLine="540"/>
        <w:jc w:val="both"/>
      </w:pPr>
      <w:r>
        <w:rPr>
          <w:b/>
          <w:sz w:val="26"/>
          <w:szCs w:val="26"/>
          <w:u w:val="single"/>
        </w:rPr>
        <w:t xml:space="preserve">Подпрограмма 1 «Совершенствование и развитие дорожной сети».</w:t>
      </w:r>
      <w:r/>
    </w:p>
    <w:p>
      <w:pPr>
        <w:pStyle w:val="1190"/>
        <w:ind w:left="0" w:right="0" w:firstLine="540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Подпрограмма представляет собой комплекс мероприятий по строительству, реконструкции, ремонту и сод</w:t>
      </w:r>
      <w:r>
        <w:rPr>
          <w:sz w:val="26"/>
          <w:szCs w:val="26"/>
        </w:rPr>
        <w:t xml:space="preserve">ержанию автомобильных дорог   местного  значения, относящихся к улично-дорожной сети населенных пунктов  района, искусственных сооружений на них, а также по предоставлению субсидий бюджетам муниципальных образований за счет средств дорожного фонда области.</w:t>
      </w:r>
      <w:r/>
    </w:p>
    <w:p>
      <w:pPr>
        <w:pStyle w:val="1190"/>
        <w:ind w:left="0" w:right="0" w:firstLine="540"/>
        <w:jc w:val="both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1190"/>
        <w:ind w:left="0" w:right="0" w:firstLine="540"/>
        <w:jc w:val="both"/>
      </w:pPr>
      <w:r>
        <w:rPr>
          <w:b/>
          <w:sz w:val="26"/>
          <w:szCs w:val="26"/>
          <w:u w:val="single"/>
        </w:rPr>
        <w:t xml:space="preserve">Подпрограмма 2 «Совершенствование и развитие транспортной системы».</w:t>
      </w:r>
      <w:r/>
    </w:p>
    <w:p>
      <w:pPr>
        <w:pStyle w:val="1190"/>
        <w:ind w:left="0" w:right="0" w:firstLine="540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Подпрограмма представляет собой комплекс мероприятий, направленны</w:t>
      </w:r>
      <w:r>
        <w:rPr>
          <w:sz w:val="26"/>
          <w:szCs w:val="26"/>
        </w:rPr>
        <w:t xml:space="preserve">х на создание условий для организации транспортного обслуживания населения автомобильным транспортом посредством обеспечения организации транспортного обслуживания населения автобусными пассажирскими перевозками в пригородном и межмуниципальном  сообщении.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Система основных мероприятий и показателей подпрограмм представлена в приложении № 1 к муниципальной  программе.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Сроки реализации подпрограмм совпадают со сроками реализации муниципальной программы в целом.</w:t>
      </w:r>
      <w:r/>
    </w:p>
    <w:p>
      <w:pPr>
        <w:pStyle w:val="1190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1190"/>
        <w:jc w:val="center"/>
      </w:pPr>
      <w:r>
        <w:rPr>
          <w:b/>
          <w:sz w:val="26"/>
          <w:szCs w:val="26"/>
        </w:rPr>
        <w:t xml:space="preserve">5. Ресурсное обеспечение муниципальной программы</w:t>
      </w:r>
      <w:r/>
    </w:p>
    <w:p>
      <w:pPr>
        <w:pStyle w:val="1190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Расходы на реализацию муниципальной программы формируются за счет средств областного, районного бюджетов.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Планируемый общий объем финансирования муниципальной программы в 2015 - 2026 годах за счет всех источников финансирования составит 831 441,4 тыс. рублей.</w:t>
      </w:r>
      <w:r/>
    </w:p>
    <w:p>
      <w:pPr>
        <w:pStyle w:val="1190"/>
        <w:ind w:left="0" w:right="0" w:firstLine="540"/>
        <w:jc w:val="both"/>
        <w:rPr>
          <w:sz w:val="26"/>
          <w:szCs w:val="26"/>
          <w:highlight w:val="none"/>
          <w:lang w:eastAsia="en-US"/>
        </w:rPr>
      </w:pPr>
      <w:r>
        <w:rPr>
          <w:sz w:val="26"/>
          <w:szCs w:val="26"/>
          <w:lang w:eastAsia="en-US"/>
        </w:rPr>
        <w:t xml:space="preserve">Объем финансирования муниципальной программы в 2015 - 2026 годах за счет средств областного бюджета составит  - 472 984,1 тыс.  рублей, в том числе по годам</w:t>
      </w:r>
      <w:r/>
    </w:p>
    <w:p>
      <w:pPr>
        <w:pStyle w:val="1190"/>
      </w:pPr>
      <w:r>
        <w:rPr>
          <w:sz w:val="26"/>
          <w:szCs w:val="26"/>
          <w:highlight w:val="white"/>
        </w:rPr>
        <w:t xml:space="preserve">2015 год – 0 тыс. рублей;</w:t>
      </w:r>
      <w:r>
        <w:rPr>
          <w:highlight w:val="white"/>
        </w:rPr>
      </w:r>
      <w:r/>
    </w:p>
    <w:p>
      <w:pPr>
        <w:pStyle w:val="1190"/>
      </w:pPr>
      <w:r>
        <w:rPr>
          <w:sz w:val="26"/>
          <w:szCs w:val="26"/>
          <w:highlight w:val="white"/>
        </w:rPr>
        <w:t xml:space="preserve">2016 год – 0 тыс. рублей;</w:t>
      </w:r>
      <w:r>
        <w:rPr>
          <w:highlight w:val="white"/>
        </w:rPr>
      </w:r>
      <w:r/>
    </w:p>
    <w:p>
      <w:pPr>
        <w:pStyle w:val="1190"/>
      </w:pPr>
      <w:r>
        <w:rPr>
          <w:sz w:val="26"/>
          <w:szCs w:val="26"/>
          <w:highlight w:val="white"/>
        </w:rPr>
        <w:t xml:space="preserve">2017 год – 0 тыс. рублей;</w:t>
      </w:r>
      <w:r>
        <w:rPr>
          <w:highlight w:val="white"/>
        </w:rPr>
      </w:r>
      <w:r/>
    </w:p>
    <w:p>
      <w:pPr>
        <w:pStyle w:val="1190"/>
      </w:pPr>
      <w:r>
        <w:rPr>
          <w:sz w:val="26"/>
          <w:szCs w:val="26"/>
          <w:highlight w:val="white"/>
        </w:rPr>
        <w:t xml:space="preserve">2018 год – 15 478 тыс. рублей;</w:t>
      </w:r>
      <w:r>
        <w:rPr>
          <w:highlight w:val="white"/>
        </w:rPr>
      </w:r>
      <w:r/>
    </w:p>
    <w:p>
      <w:pPr>
        <w:pStyle w:val="1190"/>
      </w:pPr>
      <w:r>
        <w:rPr>
          <w:sz w:val="26"/>
          <w:szCs w:val="26"/>
          <w:highlight w:val="white"/>
        </w:rPr>
        <w:t xml:space="preserve">2019 год –  116 800 тыс. рублей;</w:t>
      </w:r>
      <w:r>
        <w:rPr>
          <w:highlight w:val="white"/>
        </w:rPr>
      </w:r>
      <w:r/>
    </w:p>
    <w:p>
      <w:pPr>
        <w:pStyle w:val="1190"/>
      </w:pPr>
      <w:r>
        <w:rPr>
          <w:sz w:val="26"/>
          <w:szCs w:val="26"/>
          <w:highlight w:val="white"/>
        </w:rPr>
        <w:t xml:space="preserve">2020 год – 69 034,5 тыс. рублей;</w:t>
      </w:r>
      <w:r>
        <w:rPr>
          <w:highlight w:val="white"/>
        </w:rPr>
      </w:r>
      <w:r/>
    </w:p>
    <w:p>
      <w:pPr>
        <w:pStyle w:val="1190"/>
      </w:pPr>
      <w:r>
        <w:rPr>
          <w:sz w:val="26"/>
          <w:szCs w:val="26"/>
          <w:highlight w:val="white"/>
        </w:rPr>
        <w:t xml:space="preserve">2021 год – 85 160.8 тыс. рублей;</w:t>
      </w:r>
      <w:r>
        <w:rPr>
          <w:highlight w:val="white"/>
        </w:rPr>
      </w:r>
      <w:r/>
    </w:p>
    <w:p>
      <w:pPr>
        <w:pStyle w:val="1190"/>
      </w:pPr>
      <w:r>
        <w:rPr>
          <w:sz w:val="26"/>
          <w:szCs w:val="26"/>
          <w:highlight w:val="white"/>
        </w:rPr>
        <w:t xml:space="preserve">2022 год – 46 236,1 тыс. рублей;</w:t>
      </w:r>
      <w:r>
        <w:rPr>
          <w:highlight w:val="white"/>
        </w:rPr>
      </w:r>
      <w:r/>
    </w:p>
    <w:p>
      <w:pPr>
        <w:pStyle w:val="1190"/>
      </w:pPr>
      <w:r>
        <w:rPr>
          <w:sz w:val="26"/>
          <w:szCs w:val="26"/>
          <w:highlight w:val="white"/>
        </w:rPr>
        <w:t xml:space="preserve">2023 год – 64 048,2 тыс. рублей;</w:t>
      </w:r>
      <w:r>
        <w:rPr>
          <w:highlight w:val="white"/>
        </w:rPr>
      </w:r>
      <w:r/>
    </w:p>
    <w:p>
      <w:pPr>
        <w:pStyle w:val="1190"/>
      </w:pPr>
      <w:r>
        <w:rPr>
          <w:sz w:val="26"/>
          <w:szCs w:val="26"/>
          <w:highlight w:val="white"/>
        </w:rPr>
        <w:t xml:space="preserve">2024 год – 75 950,3 тыс. рублей;</w:t>
      </w:r>
      <w:r>
        <w:rPr>
          <w:highlight w:val="white"/>
        </w:rPr>
      </w:r>
      <w:r/>
    </w:p>
    <w:p>
      <w:pPr>
        <w:pStyle w:val="1190"/>
      </w:pPr>
      <w:r>
        <w:rPr>
          <w:sz w:val="26"/>
          <w:szCs w:val="26"/>
          <w:highlight w:val="white"/>
        </w:rPr>
        <w:t xml:space="preserve">2025 год – 138,1 тыс. рублей;</w:t>
      </w:r>
      <w:r>
        <w:rPr>
          <w:highlight w:val="white"/>
        </w:rPr>
      </w:r>
      <w:r/>
    </w:p>
    <w:p>
      <w:pPr>
        <w:rPr>
          <w:highlight w:val="white"/>
        </w:rPr>
      </w:pP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  <w:t xml:space="preserve">2026 год – 138,1 тыс. рублей</w:t>
      </w:r>
      <w:r>
        <w:rPr>
          <w:sz w:val="26"/>
          <w:szCs w:val="26"/>
          <w:highlight w:val="white"/>
        </w:rPr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Объем финансовых средств, направляемых из районного  бюджета на реализацию  муниципальной программы, составляет 358 457,3 тыс. рублей, в том числе по годам:</w:t>
      </w:r>
      <w:r/>
    </w:p>
    <w:p>
      <w:pPr>
        <w:pStyle w:val="1190"/>
      </w:pPr>
      <w:r>
        <w:rPr>
          <w:sz w:val="26"/>
          <w:szCs w:val="26"/>
        </w:rPr>
        <w:t xml:space="preserve">2015 год – 22 362 тыс. рублей;</w:t>
      </w:r>
      <w:r/>
    </w:p>
    <w:p>
      <w:pPr>
        <w:pStyle w:val="1190"/>
      </w:pPr>
      <w:r>
        <w:rPr>
          <w:sz w:val="26"/>
          <w:szCs w:val="26"/>
        </w:rPr>
        <w:t xml:space="preserve">2016 год – 24 991 тыс. рублей;</w:t>
      </w:r>
      <w:r/>
    </w:p>
    <w:p>
      <w:pPr>
        <w:pStyle w:val="1190"/>
      </w:pPr>
      <w:r>
        <w:rPr>
          <w:sz w:val="26"/>
          <w:szCs w:val="26"/>
        </w:rPr>
        <w:t xml:space="preserve">2017 год – 25 280 тыс. рублей;</w:t>
      </w:r>
      <w:r/>
    </w:p>
    <w:p>
      <w:pPr>
        <w:pStyle w:val="1190"/>
      </w:pPr>
      <w:r>
        <w:rPr>
          <w:sz w:val="26"/>
          <w:szCs w:val="26"/>
        </w:rPr>
        <w:t xml:space="preserve">2018 год – 28 714 тыс. рублей;</w:t>
      </w:r>
      <w:r/>
    </w:p>
    <w:p>
      <w:pPr>
        <w:pStyle w:val="1190"/>
      </w:pPr>
      <w:r>
        <w:rPr>
          <w:sz w:val="26"/>
          <w:szCs w:val="26"/>
        </w:rPr>
        <w:t xml:space="preserve">2019 год – 34 541 тыс. рублей;</w:t>
      </w:r>
      <w:r/>
    </w:p>
    <w:p>
      <w:pPr>
        <w:pStyle w:val="1190"/>
      </w:pPr>
      <w:r>
        <w:rPr>
          <w:sz w:val="26"/>
          <w:szCs w:val="26"/>
        </w:rPr>
        <w:t xml:space="preserve">2020 год – 40 671 тыс. рублей;</w:t>
      </w:r>
      <w:r/>
    </w:p>
    <w:p>
      <w:pPr>
        <w:pStyle w:val="1190"/>
      </w:pPr>
      <w:r>
        <w:rPr>
          <w:sz w:val="26"/>
          <w:szCs w:val="26"/>
        </w:rPr>
        <w:t xml:space="preserve">2021 год – 32 490,6 тыс. рублей;</w:t>
      </w:r>
      <w:r/>
    </w:p>
    <w:p>
      <w:pPr>
        <w:pStyle w:val="1190"/>
      </w:pPr>
      <w:r>
        <w:rPr>
          <w:sz w:val="26"/>
          <w:szCs w:val="26"/>
        </w:rPr>
        <w:t xml:space="preserve">2022 год – 34 220,5 тыс. рублей;</w:t>
      </w:r>
      <w:r/>
    </w:p>
    <w:p>
      <w:pPr>
        <w:pStyle w:val="1190"/>
      </w:pPr>
      <w:r>
        <w:rPr>
          <w:sz w:val="26"/>
          <w:szCs w:val="26"/>
        </w:rPr>
        <w:t xml:space="preserve">2023 год – 33 291,4 тыс. рублей;</w:t>
      </w:r>
      <w:r/>
    </w:p>
    <w:p>
      <w:pPr>
        <w:pStyle w:val="1190"/>
      </w:pPr>
      <w:r>
        <w:rPr>
          <w:sz w:val="26"/>
          <w:szCs w:val="26"/>
        </w:rPr>
        <w:t xml:space="preserve">2024 год – 35 050,8 тыс. рублей;</w:t>
      </w:r>
      <w:r/>
    </w:p>
    <w:p>
      <w:pPr>
        <w:pStyle w:val="1190"/>
      </w:pPr>
      <w:r>
        <w:rPr>
          <w:sz w:val="26"/>
          <w:szCs w:val="26"/>
        </w:rPr>
        <w:t xml:space="preserve">2025 год – 32 445 тыс. рублей;</w:t>
      </w:r>
      <w:r>
        <w:rPr>
          <w:sz w:val="26"/>
          <w:szCs w:val="26"/>
          <w:highlight w:val="none"/>
        </w:rPr>
      </w:r>
      <w:r/>
    </w:p>
    <w:p>
      <w:pPr>
        <w:jc w:val="both"/>
      </w:pPr>
      <w:r>
        <w:rPr>
          <w:sz w:val="26"/>
          <w:szCs w:val="26"/>
          <w:highlight w:val="none"/>
        </w:rPr>
      </w:r>
      <w:r>
        <w:rPr>
          <w:sz w:val="26"/>
          <w:szCs w:val="26"/>
        </w:rPr>
        <w:t xml:space="preserve">2026 год – 14 400 тыс. рублей</w:t>
      </w:r>
      <w:r/>
    </w:p>
    <w:p>
      <w:pPr>
        <w:pStyle w:val="1190"/>
        <w:ind w:left="0" w:right="0" w:firstLine="567"/>
        <w:jc w:val="both"/>
      </w:pPr>
      <w:r>
        <w:rPr>
          <w:sz w:val="26"/>
          <w:szCs w:val="26"/>
        </w:rPr>
        <w:t xml:space="preserve">Ресурсное об</w:t>
      </w:r>
      <w:r>
        <w:rPr>
          <w:sz w:val="26"/>
          <w:szCs w:val="26"/>
        </w:rPr>
        <w:t xml:space="preserve">еспечение и прогнозная (справочная) оценка расходов на реализацию мероприятий муниципальной программы, подпрограмм муниципальной программы из различных источников финансирования  представлены соответственно в приложениях  №№ 3-4 к  муниципальной программе.</w:t>
      </w:r>
      <w:r/>
    </w:p>
    <w:p>
      <w:pPr>
        <w:pStyle w:val="1234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Бюджетная заявка на ассигнования из б</w:t>
      </w:r>
      <w:r>
        <w:rPr>
          <w:rFonts w:ascii="Times New Roman" w:hAnsi="Times New Roman" w:cs="Times New Roman"/>
          <w:sz w:val="26"/>
          <w:szCs w:val="26"/>
        </w:rPr>
        <w:t xml:space="preserve">юджета Чернянского района на 2024 год и на плановый период 2025-2026 годов для финансирования муниципальной программы «Совершенствование и развития транспортной системы и дорожной сети Чернянского района Белгородской области» представлена в приложении № 5.</w:t>
      </w:r>
      <w:r/>
    </w:p>
    <w:p>
      <w:pPr>
        <w:pStyle w:val="1190"/>
        <w:ind w:left="0" w:right="0" w:firstLine="709"/>
        <w:jc w:val="both"/>
      </w:pPr>
      <w:r>
        <w:rPr>
          <w:sz w:val="26"/>
          <w:szCs w:val="26"/>
        </w:rPr>
        <w:t xml:space="preserve">Сведения о методике расчета показателей конечного результата муниципальной программы «Совершенствование и развитие транспортной системы и дорожной сети Чернянского района Белгородской области» представлены в приложении № 6.</w:t>
      </w:r>
      <w:r/>
    </w:p>
    <w:p>
      <w:pPr>
        <w:pStyle w:val="1190"/>
        <w:ind w:left="0" w:right="0" w:firstLine="567"/>
        <w:jc w:val="both"/>
      </w:pPr>
      <w:r>
        <w:rPr>
          <w:sz w:val="26"/>
          <w:szCs w:val="26"/>
        </w:rPr>
        <w:t xml:space="preserve">Объем финансового обеспечения муниципальной программы подлежит ежегодному уточнению в рамках подготовки проекта бюджета муниципального района «Чернянский район» на очередной финансовый год и плановый период.</w:t>
      </w:r>
      <w:r/>
    </w:p>
    <w:p>
      <w:pPr>
        <w:pStyle w:val="1190"/>
        <w:ind w:left="0" w:right="0" w:firstLine="567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1190"/>
        <w:jc w:val="center"/>
      </w:pPr>
      <w:r>
        <w:rPr>
          <w:b/>
          <w:sz w:val="26"/>
          <w:szCs w:val="26"/>
        </w:rPr>
        <w:t xml:space="preserve">6. Анализ рисков реализации муниципальной программы </w:t>
      </w:r>
      <w:r/>
    </w:p>
    <w:p>
      <w:pPr>
        <w:pStyle w:val="1190"/>
        <w:jc w:val="center"/>
      </w:pPr>
      <w:r>
        <w:rPr>
          <w:b/>
          <w:sz w:val="26"/>
          <w:szCs w:val="26"/>
        </w:rPr>
        <w:t xml:space="preserve">и описание мер управления рисками реализации </w:t>
      </w:r>
      <w:r/>
    </w:p>
    <w:p>
      <w:pPr>
        <w:pStyle w:val="1190"/>
        <w:jc w:val="center"/>
      </w:pPr>
      <w:r>
        <w:rPr>
          <w:b/>
          <w:sz w:val="26"/>
          <w:szCs w:val="26"/>
        </w:rPr>
        <w:t xml:space="preserve">муниципальной программы</w:t>
      </w:r>
      <w:r/>
    </w:p>
    <w:p>
      <w:pPr>
        <w:pStyle w:val="1190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При реализации муниципальной  программы осуществляются меры, направленные на снижение последствий рисков и повышение уровня гарантированности достижения предусмотренных в ней конечных результатов.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На основе анализа мероприятий, предлагаемых для реализации в рамках муниципальной  программы, выделены следующие риски ее реализации: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Макроэкономические риски связаны с существующей вероятностью кризисных явлений в мировой и российской экономиках, снижения темпов роста экономики и инвестиционной активности, высокой инфляцией, ведущей к непредвиденному росту затрат</w:t>
      </w:r>
      <w:r>
        <w:rPr>
          <w:sz w:val="26"/>
          <w:szCs w:val="26"/>
        </w:rPr>
        <w:t xml:space="preserve"> на строительные материалы, горюче-смазочные материалы, электроэнергию и в конечном результате к снижению объемов финансирования программных мероприятий из средств бюджетов всех уровней, увеличению стоимости дорожных работ и снижению объемов строительства.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Снижение данных рисков предусматривается за счет привлечения внебюджетных источников финансирования для реализации мероприятий  муниципальной программы.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Финансовые риски связаны с возникновением бюджетного дефицита и недостаточным вследствие этого уровнем бюджетного финансирования, секвестированием бюджетных расходов на курируемые сферы.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Возникновение данных рисков может </w:t>
      </w:r>
      <w:r>
        <w:rPr>
          <w:sz w:val="26"/>
          <w:szCs w:val="26"/>
        </w:rPr>
        <w:t xml:space="preserve">привести к сокращению объемов финансирования запланированных мероприятий, прекращению финансирования ряда мероприятий и, как следствие, выполнению не в полном объеме или невыполнению как непосредственных, так и конечных результатов муниципальной программы.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Способами ограничения финансовых рисков выступают следующие меры: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- ежегодное уточнение объемов финансовых средств, предусмотренных на реализацию мероприятий  муниципальной программы, в зависимости от достигнутых результатов;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- определение приоритетов для первоочередного финансирования расходов.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Минимизация данных рисков предусматривается путем привлечения внебюджетных источников финансирования для реализации мероприятий муниципальной программы, применения механизмов государственно-частного партнерства.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Правовые риски связаны с изменением федерального законодательств</w:t>
      </w:r>
      <w:r>
        <w:rPr>
          <w:sz w:val="26"/>
          <w:szCs w:val="26"/>
        </w:rPr>
        <w:t xml:space="preserve">а, длительностью формирования нормативной правовой базы, необходимой для эффективной реализации муниципальной программы. Это может привести к существенному увеличению планируемых сроков или изменению условий реализации мероприятий  муниципальной программы.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Для минимизации воздействия данной группы рисков в рамках реализации муниципальной программы пла</w:t>
      </w:r>
      <w:r>
        <w:rPr>
          <w:sz w:val="26"/>
          <w:szCs w:val="26"/>
        </w:rPr>
        <w:t xml:space="preserve">нируется на этапе разработки проектов документов привлекать к их обсуждению основные заинтересованные стороны, которые впоследствии должны принять участие в их согласовании, а также проводить мониторинг планируемых изменений в федеральном законодательстве.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Информационные риски определяются отсутствием или частичной недостаточностью исходной отчетной и оперативной информации, используемой в процессе разработки и реализации  муниципальной программы.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С целью управления информационными рисками в ходе реализации муниципальной программы будет проводиться работа, направленная на: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- использование статистических показателей, обеспечивающих объективность оценки хода и результатов реализации муниципальной программы;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- своевременный мониторинг и оценку ис</w:t>
      </w:r>
      <w:r>
        <w:rPr>
          <w:sz w:val="26"/>
          <w:szCs w:val="26"/>
        </w:rPr>
        <w:t xml:space="preserve">полнения целевых показателей (индикаторов) муниципальной программы, выявление факторов риска, оценку их значимости (анализ вероятности того, что произойдут события, способные отрицательно повлиять на конечные результаты реализации муниципальной программы).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Административные риски связаны с неэффективным управлением реализацией подпрограмм, низкой эффективностью взаимодействия заинтересованных сторон, что может повлечь за собой потерю управляемости, </w:t>
      </w:r>
      <w:r>
        <w:rPr>
          <w:sz w:val="26"/>
          <w:szCs w:val="26"/>
        </w:rPr>
        <w:t xml:space="preserve">нарушение планируемых сроков реализации мероприятий муниципальной программы, невыполнение ее цели и задач, недостижение плановых значений показателей, снижение эффективности использования ресурсов и качества выполнения мероприятий  муниципальной программы.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Основными условиями минимизации административных рисков являются: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- формирование эффективной системы управления реализацией муниципальной программы и ее подпрограмм;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- повышение эффективности взаимодействия участников реализации муниципальной программы;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- своевременная корректировка мероприятий муниципальной программы.Кадровые риски обусловлены определенным дефицитом высококвалифицированных кадров, что снижает эффективность работы и качество предоставляемых услуг.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Снижение влияния данной группы рисков предполагается посредством обеспечения подбора высококвалифицированных кадров и переподготовки</w:t>
      </w:r>
      <w:r/>
    </w:p>
    <w:p>
      <w:pPr>
        <w:pStyle w:val="1190"/>
        <w:jc w:val="both"/>
      </w:pPr>
      <w:r>
        <w:rPr>
          <w:sz w:val="26"/>
          <w:szCs w:val="26"/>
        </w:rPr>
        <w:t xml:space="preserve">(повышения квалификации) имеющихся специалистов, формирования резерва кадров.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Управление рисками будет осуществляться в соответствии с федеральным и региональным законодательством.</w:t>
      </w:r>
      <w:r/>
    </w:p>
    <w:p>
      <w:pPr>
        <w:ind w:left="0" w:right="0" w:firstLine="540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/>
    </w:p>
    <w:p>
      <w:pPr>
        <w:ind w:left="0" w:right="0" w:firstLine="540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/>
    </w:p>
    <w:p>
      <w:pPr>
        <w:ind w:left="0" w:right="0" w:firstLine="540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/>
    </w:p>
    <w:p>
      <w:pPr>
        <w:ind w:left="0" w:right="0" w:firstLine="540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/>
    </w:p>
    <w:p>
      <w:pPr>
        <w:ind w:left="0" w:right="0" w:firstLine="540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/>
    </w:p>
    <w:p>
      <w:pPr>
        <w:ind w:left="0" w:right="0" w:firstLine="540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/>
    </w:p>
    <w:p>
      <w:pPr>
        <w:ind w:left="0" w:right="0" w:firstLine="540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/>
    </w:p>
    <w:p>
      <w:pPr>
        <w:ind w:left="0" w:right="0" w:firstLine="540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/>
    </w:p>
    <w:p>
      <w:pPr>
        <w:ind w:left="0" w:right="0" w:firstLine="540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/>
    </w:p>
    <w:p>
      <w:pPr>
        <w:ind w:left="0" w:right="0" w:firstLine="540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/>
    </w:p>
    <w:p>
      <w:pPr>
        <w:ind w:left="0" w:right="0" w:firstLine="540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/>
    </w:p>
    <w:p>
      <w:pPr>
        <w:ind w:left="0" w:right="0" w:firstLine="540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/>
    </w:p>
    <w:p>
      <w:pPr>
        <w:ind w:left="0" w:right="0" w:firstLine="540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/>
    </w:p>
    <w:p>
      <w:pPr>
        <w:ind w:left="0" w:right="0" w:firstLine="540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/>
    </w:p>
    <w:p>
      <w:pPr>
        <w:ind w:left="0" w:right="0" w:firstLine="540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/>
    </w:p>
    <w:p>
      <w:pPr>
        <w:ind w:left="0" w:right="0" w:firstLine="540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/>
    </w:p>
    <w:p>
      <w:pPr>
        <w:ind w:left="0" w:right="0" w:firstLine="540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/>
    </w:p>
    <w:p>
      <w:pPr>
        <w:ind w:left="0" w:right="0" w:firstLine="540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/>
    </w:p>
    <w:p>
      <w:pPr>
        <w:ind w:left="0" w:right="0" w:firstLine="540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/>
    </w:p>
    <w:p>
      <w:pPr>
        <w:ind w:left="0" w:right="0" w:firstLine="540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/>
    </w:p>
    <w:p>
      <w:pPr>
        <w:ind w:left="0" w:right="0" w:firstLine="540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/>
    </w:p>
    <w:p>
      <w:pPr>
        <w:ind w:left="0" w:right="0" w:firstLine="540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/>
    </w:p>
    <w:p>
      <w:pPr>
        <w:ind w:left="0" w:right="0" w:firstLine="540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/>
    </w:p>
    <w:p>
      <w:pPr>
        <w:ind w:left="0" w:right="0" w:firstLine="540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/>
    </w:p>
    <w:p>
      <w:pPr>
        <w:ind w:left="0" w:right="0" w:firstLine="540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/>
    </w:p>
    <w:p>
      <w:pPr>
        <w:ind w:left="0" w:right="0" w:firstLine="540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/>
    </w:p>
    <w:p>
      <w:pPr>
        <w:ind w:left="0" w:right="0" w:firstLine="540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/>
    </w:p>
    <w:p>
      <w:pPr>
        <w:pStyle w:val="1190"/>
        <w:ind w:left="0" w:right="0" w:firstLine="540"/>
        <w:jc w:val="both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1190"/>
        <w:jc w:val="center"/>
      </w:pPr>
      <w:r>
        <w:rPr>
          <w:b/>
          <w:sz w:val="26"/>
          <w:szCs w:val="26"/>
        </w:rPr>
        <w:t xml:space="preserve">Подпрограмма 1. «Совершенствование и развитие дорожной сети»</w:t>
      </w:r>
      <w:r/>
    </w:p>
    <w:p>
      <w:pPr>
        <w:pStyle w:val="119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pStyle w:val="1190"/>
        <w:jc w:val="center"/>
      </w:pPr>
      <w:r>
        <w:rPr>
          <w:b/>
          <w:sz w:val="26"/>
          <w:szCs w:val="26"/>
        </w:rPr>
        <w:t xml:space="preserve">Паспорт</w:t>
      </w:r>
      <w:r/>
    </w:p>
    <w:p>
      <w:pPr>
        <w:pStyle w:val="119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tbl>
      <w:tblPr>
        <w:tblW w:w="0" w:type="auto"/>
        <w:tblInd w:w="0" w:type="dxa"/>
        <w:tblLayout w:type="fixed"/>
        <w:tblCellMar>
          <w:left w:w="75" w:type="dxa"/>
          <w:top w:w="0" w:type="dxa"/>
          <w:right w:w="75" w:type="dxa"/>
          <w:bottom w:w="0" w:type="dxa"/>
        </w:tblCellMar>
        <w:tblLook w:val="04A0" w:firstRow="1" w:lastRow="0" w:firstColumn="1" w:lastColumn="0" w:noHBand="0" w:noVBand="1"/>
      </w:tblPr>
      <w:tblGrid>
        <w:gridCol w:w="667"/>
        <w:gridCol w:w="2891"/>
        <w:gridCol w:w="6223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7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6"/>
                <w:szCs w:val="26"/>
              </w:rPr>
              <w:t xml:space="preserve">№</w:t>
            </w:r>
            <w:r/>
          </w:p>
          <w:p>
            <w:pPr>
              <w:pStyle w:val="1190"/>
              <w:jc w:val="center"/>
              <w:widowControl w:val="off"/>
            </w:pPr>
            <w:r>
              <w:rPr>
                <w:sz w:val="26"/>
                <w:szCs w:val="26"/>
              </w:rPr>
              <w:t xml:space="preserve">п/п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1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6"/>
                <w:szCs w:val="26"/>
              </w:rPr>
              <w:t xml:space="preserve">Наименование подпрограммы 1: «Совершенствование и развитие дорожной сети» (далее - подпрограмма 1)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7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6"/>
                <w:szCs w:val="26"/>
              </w:rPr>
              <w:t xml:space="preserve">1.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91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6"/>
                <w:szCs w:val="26"/>
              </w:rPr>
              <w:t xml:space="preserve">Соисполнитель муниципальной программы, ответственный за подпрограмму 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2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6"/>
                <w:szCs w:val="26"/>
              </w:rPr>
              <w:t xml:space="preserve">МКУ «Управление строительства, транспорта, связи и ЖКХ» Чернянского района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7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6"/>
                <w:szCs w:val="26"/>
              </w:rPr>
              <w:t xml:space="preserve">2.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91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6"/>
                <w:szCs w:val="26"/>
              </w:rPr>
              <w:t xml:space="preserve">Участники подпрограммы 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2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6"/>
                <w:szCs w:val="26"/>
              </w:rPr>
              <w:t xml:space="preserve">МКУ «Управление строительства, транспорта, связи и ЖКХ» Чернянского района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7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6"/>
                <w:szCs w:val="26"/>
              </w:rPr>
              <w:t xml:space="preserve">3.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91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6"/>
                <w:szCs w:val="26"/>
              </w:rPr>
              <w:t xml:space="preserve">Цель (цели) подпрограммы 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23" w:type="dxa"/>
            <w:vAlign w:val="center"/>
            <w:textDirection w:val="lrTb"/>
            <w:noWrap w:val="false"/>
          </w:tcPr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</w:rPr>
              <w:t xml:space="preserve">Сохранность и развитие автодорог  местного  значения, относящихся к улично-дорожной сети населенных пунктов  района,  в соответствии с темпами экономического развития района, ростом уровня автомобилизации и объемов автомобильных перевозок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7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6"/>
                <w:szCs w:val="26"/>
              </w:rPr>
              <w:t xml:space="preserve">4.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91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6"/>
                <w:szCs w:val="26"/>
              </w:rPr>
              <w:t xml:space="preserve">Задачи </w:t>
            </w:r>
            <w:r/>
          </w:p>
          <w:p>
            <w:pPr>
              <w:pStyle w:val="1190"/>
              <w:jc w:val="center"/>
              <w:widowControl w:val="off"/>
            </w:pPr>
            <w:r>
              <w:rPr>
                <w:sz w:val="26"/>
                <w:szCs w:val="26"/>
              </w:rPr>
              <w:t xml:space="preserve">подпрограммы 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23" w:type="dxa"/>
            <w:vAlign w:val="center"/>
            <w:textDirection w:val="lrTb"/>
            <w:noWrap w:val="false"/>
          </w:tcPr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</w:rPr>
              <w:t xml:space="preserve">1.Обеспече</w:t>
            </w:r>
            <w:r>
              <w:rPr>
                <w:sz w:val="26"/>
                <w:szCs w:val="26"/>
              </w:rPr>
              <w:t xml:space="preserve">ние сохранности существующей сети автодорог  местного  значения, относящихся к улично-дорожной сети населенных пунктов  района, улучшение транспортно-эксплуатационных характеристик и потребительских свойств автодорог с целью снижения транспортных издержек.</w:t>
            </w:r>
            <w:r/>
          </w:p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</w:rPr>
              <w:t xml:space="preserve">2. Обеспечение круглогодичной транспортной  доступности сельских населенных пунктов, обеспечение автодорогами с твердым покрытием улично-дорожной сети населенных пунктов, микрорайонов массовой жилищной застройки.</w:t>
            </w:r>
            <w:r/>
          </w:p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</w:rPr>
              <w:t xml:space="preserve">3.Обеспечение формирования  адресных программ повышения безопасности дорожного движения пешеходов, в т. ч. обустройство пешеходных переходов техническими средствами организации дорожного движения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7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6"/>
                <w:szCs w:val="26"/>
              </w:rPr>
              <w:t xml:space="preserve">5.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91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6"/>
                <w:szCs w:val="26"/>
              </w:rPr>
              <w:t xml:space="preserve">Сроки реализации подпрограммы 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23" w:type="dxa"/>
            <w:vAlign w:val="center"/>
            <w:textDirection w:val="lrTb"/>
            <w:noWrap w:val="false"/>
          </w:tcPr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</w:rPr>
              <w:t xml:space="preserve">2015-2026 годы</w:t>
            </w:r>
            <w:r/>
          </w:p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</w:rPr>
              <w:t xml:space="preserve">подпрограмма 1 реализуется в 2 этапа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7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6"/>
                <w:szCs w:val="26"/>
              </w:rPr>
              <w:t xml:space="preserve">6.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91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6"/>
                <w:szCs w:val="26"/>
              </w:rPr>
              <w:t xml:space="preserve">Общий объем бюджетных ассигнований подпрограммы 1,в том числе за счет средств местного бюджета   (с расшифровкой плановых объемов бюджетных ассигнований по годам ее реализации), а также прогнозный объем средств, привлекаемых из других источников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23" w:type="dxa"/>
            <w:vAlign w:val="center"/>
            <w:textDirection w:val="lrTb"/>
            <w:noWrap w:val="false"/>
          </w:tcPr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</w:rPr>
              <w:t xml:space="preserve">Планируемый общий объем финансирования подпрограммы 1 в 2015-2026 годах составит</w:t>
            </w:r>
            <w:r>
              <w:rPr>
                <w:color w:val="ff0000"/>
                <w:sz w:val="26"/>
                <w:szCs w:val="26"/>
              </w:rPr>
              <w:t xml:space="preserve">               </w:t>
            </w:r>
            <w:r>
              <w:rPr>
                <w:color w:val="auto"/>
                <w:sz w:val="26"/>
                <w:szCs w:val="26"/>
              </w:rPr>
              <w:t xml:space="preserve">711 799,6 т</w:t>
            </w:r>
            <w:r>
              <w:rPr>
                <w:sz w:val="26"/>
                <w:szCs w:val="26"/>
              </w:rPr>
              <w:t xml:space="preserve">ыс. рублей.</w:t>
            </w:r>
            <w:r/>
          </w:p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</w:rPr>
              <w:t xml:space="preserve">Объем финансирования подпрограммы 1 в 2015-2026 годах за счет районного бюджета составит – 239 650,2 тыс. рублей, в том числе по годам реализации:</w:t>
            </w:r>
            <w:r/>
          </w:p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</w:rPr>
              <w:t xml:space="preserve">2015 год -  15 815 тыс. рублей;</w:t>
            </w:r>
            <w:r/>
          </w:p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</w:rPr>
              <w:t xml:space="preserve">2016 год -  18 827 тыс. рублей;</w:t>
            </w:r>
            <w:r/>
          </w:p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</w:rPr>
              <w:t xml:space="preserve">2017 год -  18 415 тыс. рублей;</w:t>
            </w:r>
            <w:r/>
          </w:p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</w:rPr>
              <w:t xml:space="preserve">2018 год -  20 073 тыс. рублей;</w:t>
            </w:r>
            <w:r/>
          </w:p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</w:rPr>
              <w:t xml:space="preserve">2019 год -  22 453 тыс. рублей;</w:t>
            </w:r>
            <w:r/>
          </w:p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</w:rPr>
              <w:t xml:space="preserve">2020 год -  28 969 тыс. рублей.</w:t>
            </w:r>
            <w:r/>
          </w:p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</w:rPr>
              <w:t xml:space="preserve">2021 год -  20 422,6 тыс. рублей;</w:t>
            </w:r>
            <w:r/>
          </w:p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</w:rPr>
              <w:t xml:space="preserve">2022 год – 22 126,5 тыс. рублей;</w:t>
            </w:r>
            <w:r/>
          </w:p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</w:rPr>
              <w:t xml:space="preserve">2023 год -  19 700,3 тыс. рублей;</w:t>
            </w:r>
            <w:r/>
          </w:p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</w:rPr>
              <w:t xml:space="preserve">2024 год -  19 824,8 тыс. рублей;</w:t>
            </w:r>
            <w:r/>
          </w:p>
          <w:p>
            <w:pPr>
              <w:pStyle w:val="1190"/>
              <w:jc w:val="both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2025 год – 18 624 тыс. рублей; </w:t>
            </w:r>
            <w:r/>
          </w:p>
          <w:p>
            <w:pPr>
              <w:jc w:val="both"/>
              <w:widowControl w:val="off"/>
            </w:pPr>
            <w:r>
              <w:rPr>
                <w:sz w:val="26"/>
                <w:szCs w:val="26"/>
              </w:rPr>
              <w:t xml:space="preserve">2026 год – 14 400 тыс. рублей;</w:t>
            </w:r>
            <w:r/>
          </w:p>
          <w:p>
            <w:pPr>
              <w:pStyle w:val="1190"/>
              <w:jc w:val="both"/>
              <w:widowControl w:val="off"/>
              <w:rPr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 xml:space="preserve">Объем финансирования </w:t>
            </w:r>
            <w:r>
              <w:rPr>
                <w:sz w:val="26"/>
                <w:szCs w:val="26"/>
              </w:rPr>
              <w:t xml:space="preserve">подпрограммы 1 </w:t>
            </w:r>
            <w:r>
              <w:rPr>
                <w:color w:val="000000"/>
                <w:sz w:val="26"/>
                <w:szCs w:val="26"/>
                <w:lang w:eastAsia="en-US"/>
              </w:rPr>
              <w:t xml:space="preserve">в 2015 - 2026 годах за счет средств областного бюджета </w:t>
            </w:r>
            <w:r>
              <w:rPr>
                <w:sz w:val="26"/>
                <w:szCs w:val="26"/>
                <w:lang w:eastAsia="en-US"/>
              </w:rPr>
              <w:t xml:space="preserve">составит  - 472 149,4 тыс.  рублей, в том числе по годам реализации:</w:t>
            </w:r>
            <w:r/>
          </w:p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</w:rPr>
              <w:t xml:space="preserve">2015 год - 0 тыс. рублей;</w:t>
            </w:r>
            <w:r/>
          </w:p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</w:rPr>
              <w:t xml:space="preserve">2016 год - 0 тыс. рублей;</w:t>
            </w:r>
            <w:r/>
          </w:p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</w:rPr>
              <w:t xml:space="preserve">2017 год - 0 тыс. рублей;</w:t>
            </w:r>
            <w:r/>
          </w:p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</w:rPr>
              <w:t xml:space="preserve">2018 год -  15 478 тыс. рублей;</w:t>
            </w:r>
            <w:r/>
          </w:p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</w:rPr>
              <w:t xml:space="preserve">2019 год -  116 800 тыс. рублей;</w:t>
            </w:r>
            <w:r/>
          </w:p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</w:rPr>
              <w:t xml:space="preserve">2020 год -  68 981 тыс. рублей.</w:t>
            </w:r>
            <w:r/>
          </w:p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</w:rPr>
              <w:t xml:space="preserve">2021 год -  85 061,8 тыс. рублей;</w:t>
            </w:r>
            <w:r/>
          </w:p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</w:rPr>
              <w:t xml:space="preserve">2022 год – 46 116,8 тыс. рублей;</w:t>
            </w:r>
            <w:r/>
          </w:p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</w:rPr>
              <w:t xml:space="preserve">2023 год -  63 899,6 тыс. рублей;</w:t>
            </w:r>
            <w:r/>
          </w:p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</w:rPr>
              <w:t xml:space="preserve">2024 год -  75 812,2 тыс. рублей;</w:t>
            </w:r>
            <w:r/>
          </w:p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</w:rPr>
              <w:t xml:space="preserve">2025 год – 0 тыс. рублей; </w:t>
            </w:r>
            <w:r>
              <w:rPr>
                <w:sz w:val="26"/>
                <w:szCs w:val="26"/>
              </w:rPr>
            </w:r>
            <w:r/>
          </w:p>
          <w:p>
            <w:pPr>
              <w:jc w:val="both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2026 год – 0 тыс. рублей;</w:t>
            </w:r>
            <w:r/>
          </w:p>
        </w:tc>
      </w:tr>
      <w:tr>
        <w:trPr>
          <w:trHeight w:val="194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7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6"/>
                <w:szCs w:val="26"/>
              </w:rPr>
              <w:t xml:space="preserve">7.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91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6"/>
                <w:szCs w:val="26"/>
              </w:rPr>
              <w:t xml:space="preserve">Показатели конечного результата реализации подпрограммы 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23" w:type="dxa"/>
            <w:vAlign w:val="center"/>
            <w:textDirection w:val="lrTb"/>
            <w:noWrap w:val="false"/>
          </w:tcPr>
          <w:p>
            <w:pPr>
              <w:pStyle w:val="1190"/>
              <w:jc w:val="left"/>
              <w:widowControl w:val="off"/>
            </w:pPr>
            <w:r>
              <w:rPr>
                <w:sz w:val="26"/>
                <w:szCs w:val="26"/>
              </w:rPr>
              <w:t xml:space="preserve">К 2027 году планируется:</w:t>
            </w:r>
            <w:r/>
          </w:p>
          <w:p>
            <w:pPr>
              <w:pStyle w:val="1190"/>
            </w:pPr>
            <w:r>
              <w:rPr>
                <w:sz w:val="26"/>
                <w:szCs w:val="26"/>
              </w:rPr>
              <w:t xml:space="preserve">1.</w:t>
            </w:r>
            <w:r>
              <w:rPr>
                <w:sz w:val="26"/>
                <w:szCs w:val="26"/>
              </w:rPr>
              <w:t xml:space="preserve">Увеличение доли автомобильных дорог  местного  значения, относящихся к улично-дорожной сети населенных пунктов  района, отвечающих нормативным требованиям в общей протяженности автомобильных дорог, относящихся  к улично-дорожной  сети   до  95,2 процентов.</w:t>
            </w:r>
            <w:r/>
          </w:p>
          <w:p>
            <w:pPr>
              <w:pStyle w:val="1190"/>
            </w:pPr>
            <w:r>
              <w:rPr>
                <w:sz w:val="26"/>
                <w:szCs w:val="26"/>
              </w:rPr>
              <w:t xml:space="preserve">2.Увеличение густоты автомобильных дорог, относящихся к улично-дорожной сети населенных пунктов района   с твердым покрытием на 1000 кв. км территории до 333,3 км.</w:t>
            </w:r>
            <w:r/>
          </w:p>
          <w:p>
            <w:pPr>
              <w:pStyle w:val="1190"/>
            </w:pPr>
            <w:r>
              <w:rPr>
                <w:sz w:val="26"/>
                <w:szCs w:val="26"/>
              </w:rPr>
              <w:t xml:space="preserve">3.Увеличение общей протяженности построенных автомобильных дорог местного значения, относящихся к улично-дорожной сети населенных пунктов района и в микрорайонах массовой жилищной застройки с твердым покрытием на 18,139 км.</w:t>
            </w:r>
            <w:r/>
          </w:p>
          <w:p>
            <w:pPr>
              <w:pStyle w:val="1190"/>
            </w:pPr>
            <w:r>
              <w:rPr>
                <w:sz w:val="26"/>
                <w:szCs w:val="26"/>
              </w:rPr>
              <w:t xml:space="preserve">4.Увеличение общей протяженности отремонтированных дорог местного значения, относящихся к улично-дорожной сети населенных пунктов района на 70 км</w:t>
            </w:r>
            <w:r>
              <w:rPr>
                <w:color w:val="ff0000"/>
                <w:sz w:val="26"/>
                <w:szCs w:val="26"/>
              </w:rPr>
              <w:t xml:space="preserve">.</w:t>
            </w:r>
            <w:r/>
          </w:p>
        </w:tc>
      </w:tr>
    </w:tbl>
    <w:p>
      <w:pPr>
        <w:pStyle w:val="1190"/>
      </w:pPr>
      <w:r>
        <w:rPr>
          <w:sz w:val="26"/>
          <w:szCs w:val="26"/>
        </w:rPr>
        <w:t xml:space="preserve">                           </w:t>
      </w:r>
      <w:r/>
    </w:p>
    <w:p>
      <w:pPr>
        <w:pStyle w:val="1190"/>
        <w:jc w:val="center"/>
      </w:pPr>
      <w:r>
        <w:rPr>
          <w:b/>
          <w:sz w:val="26"/>
          <w:szCs w:val="26"/>
        </w:rPr>
        <w:t xml:space="preserve">1. Характеристика сферы реализации подпрограммы 1, описание</w:t>
      </w:r>
      <w:r/>
    </w:p>
    <w:p>
      <w:pPr>
        <w:pStyle w:val="1190"/>
        <w:jc w:val="center"/>
      </w:pPr>
      <w:r>
        <w:rPr>
          <w:b/>
          <w:sz w:val="26"/>
          <w:szCs w:val="26"/>
        </w:rPr>
        <w:t xml:space="preserve">основных проблем в указанной сфере и прогноз ее развития</w:t>
      </w:r>
      <w:r/>
    </w:p>
    <w:p>
      <w:pPr>
        <w:pStyle w:val="1190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Дорожное хозяйство - комплекс, включающий в себя сеть автомобильных дорог</w:t>
      </w:r>
      <w:r>
        <w:rPr>
          <w:sz w:val="26"/>
          <w:szCs w:val="26"/>
        </w:rPr>
        <w:t xml:space="preserve"> общего пользования со всеми сооружениями, необходимыми для ее нормальной эксплуатации, а также предприятия и организации, осуществляющие деятельность, связанную с проектированием, строительством, реконструкцией, ремонтом и содержанием автомобильных дорог.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Эффективное функционирование и устойчивое развитие сети автомобильных дорог являются необходимыми условиями экономического роста, повышения конкурентоспособности и снижения издержек товаропроизводителей, улучшения условий жизни населения.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В настоящее время в Чернянском районе активно реализуются приоритетные национальные проекты, особенно в сельскохозяйственном секторе экономики.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Все административные центры района соединены автомобильными дорогами с твердым покрытием.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По состоянию на 1 января 2022 года протяженность</w:t>
      </w:r>
      <w:r>
        <w:rPr>
          <w:sz w:val="26"/>
          <w:szCs w:val="26"/>
        </w:rPr>
        <w:t xml:space="preserve"> автомобильных дорог общего пользования района составляет 776 км, из них дороги общего пользования местного значения  - 437,913 км. Все дороги имеют твердое покрытие. Все административные центры района соединены автомобильными дорогами с твердым покрытием.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Протяженность улично-дорожной сети в населенных пунктах составляет 437,913км, в том числе с твердым покрытием – 384,513км (87,8%). Плотность дорог с твердым покрытием на 1000 жителей – 12,08 км,  плотность сети на 1000 кв. км территории – 322,57 км.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На автомобильных дорогах  общего пользования района находится 54 искусственных сооружений общей протяженностью 933 погонных метра.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Основные пок</w:t>
      </w:r>
      <w:r>
        <w:rPr>
          <w:sz w:val="26"/>
          <w:szCs w:val="26"/>
        </w:rPr>
        <w:t xml:space="preserve">азатели, характеризующие развитие территориальной сети автомобильных дорог общего пользования Чернянского района, имеют следующие значения: плотность дорог с твердым покрытием на 1000 жителей – 12,08 км, плотность сети на 1000 кв. км территории –332,65 км.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К наиболее актуальным проблемам дорожного хозяйства Чернянского района можно отнести следующие: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1. Неудовлетворительное транспортно-эксплуатационное состояние и высокая степень износа сети автомобильных дорог общего пользования  межмуниципального значения, местного значения и искусственных сооружений на них.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Несмотря на меры, принимаемые по к</w:t>
      </w:r>
      <w:r>
        <w:rPr>
          <w:sz w:val="26"/>
          <w:szCs w:val="26"/>
        </w:rPr>
        <w:t xml:space="preserve">апитальному ремонту и ремонту, в настоящее время более 50 процентов (220 км) автомобильных дорог общего пользования  эксплуатируются с просроченными межремонтными сроками и не соответствуют нормативным требованиям к транспортно-эксплуатационному состоянию.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В условиях роста цен на дорожные работы и ограниченного финансирования эти требования не выполняются, и с каждым годом увеличивается протяженность автомобильных дорог  местного  значения, требующих ремонта.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На сегодня потребность в проведении плановых ремонтов автомобильных дорог составляет 177,8 километров, из них:  капитального – 43,9 километра, ремонта 133,9 километра. 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2. Повышение доли большегрузных автомобилей, влияющих на сохранность существующей дорожной сети, в общем транспортном потоке.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Несущая способность дорог не соответствует современным требованиям к нагрузкам, в результате чего покрытие автодорог интенсивно разрушается. По причине значительного роста интенсивности движения и уве</w:t>
      </w:r>
      <w:r>
        <w:rPr>
          <w:sz w:val="26"/>
          <w:szCs w:val="26"/>
        </w:rPr>
        <w:t xml:space="preserve">личения нагрузок большая часть дорог, соединяющих районный центр с административными центрами сельских поселений, построенных 40-50 лет назад и рассчитанных на осевую нагрузку в 6 тонн, исчерпали свой ресурс и не справляются со своими функциями. Несмотря н</w:t>
      </w:r>
      <w:r>
        <w:rPr>
          <w:sz w:val="26"/>
          <w:szCs w:val="26"/>
        </w:rPr>
        <w:t xml:space="preserve">а реализуемые в районе  областные долгосрочные целевые программы идет отставание темпов роста протяженности новых дорог и увеличения пропускной способности существующих автомобильных дорог от темпов роста автомобилизации и интенсивности дорожного движения.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Фактически в 2018-2023 годах построено и реконструировано 88 км автомобильных дорог общего пользования.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3. Отсутствие объездной автомобильной дороги вокруг п. Чернянка вынуждает использовать улично-дорожную сеть для транзитного автомобильного движения. Улицы, являющиеся продолжением  автомо</w:t>
      </w:r>
      <w:r>
        <w:rPr>
          <w:sz w:val="26"/>
          <w:szCs w:val="26"/>
        </w:rPr>
        <w:t xml:space="preserve">бильных дорог, имеют недостаточную ширину, и по условиям сложившейся застройки невозможно их расширение. Технические параметры улиц не соответствуют уровням возрастающей транспортной нагрузки, что также приводит к разрушению покрытия уличной дорожной сети.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4. Введение ограничений на проезд большегрузного транспорта по автомобильным дорогам общего пользования вследствие неудовлетворительного состояния расположенных на них искусственных сооружений.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На автодорогах местного  значения, относящихся к улично-дорожной сети населенных пунктов  района,  искусственные сооружения  введены в эксплуатацию 30 и более лет назад и в настоящее время существует потребность в их  ремонте. 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5. Ограниченность транспортной доступности сельских населенных пунктов, не имеющих круглогодичной связи с дорогами общего пользования по дорогам с твердым покрытием.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В настоя</w:t>
      </w:r>
      <w:r>
        <w:rPr>
          <w:sz w:val="26"/>
          <w:szCs w:val="26"/>
        </w:rPr>
        <w:t xml:space="preserve">щее время в районе не имеют связи с дорогами общего пользования по дорогам с твердым покрытием 14 (24,5 процентов) из 57 сельских населенных пунктов Чернянского района, в которых проживает 984 человек (3,09 процента от общей численности населения  района).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Кроме того, существует потребность в строительстве автодорог, обеспечивающих связь между населенными пунктами, с целью обеспечения бесперебойного  транспортного сообщения пассажиров по автобусным маршрутам и маршрутам подвоза учащихся школ.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Постановлением главы администрации Белгородской области от 23 сентября 1998 года № 494 «О программе развития сети автомобильных дорог в сельской местности и приведения в нормативное состояние проезжей части городской ул</w:t>
      </w:r>
      <w:r>
        <w:rPr>
          <w:sz w:val="26"/>
          <w:szCs w:val="26"/>
        </w:rPr>
        <w:t xml:space="preserve">ично-дорожной сети для проезда транзитного транспорта на  1999-2005 годы» была утверждена семилетняя программа строительства автомобильных дорог с твердым покрытием как одна из составляющих Программы улучшения качества жизни населения Белгородской области.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В рамках вышеназванной программы активно осуществлялось строительство и ремонт автомобильных дорог, благоустройство территорий населенных пунктов Чернянского района.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За прошедший период в населенных пунктах района построено и отремонтировано 215,768 км автодорог с</w:t>
      </w:r>
      <w:r>
        <w:rPr>
          <w:sz w:val="26"/>
          <w:szCs w:val="26"/>
        </w:rPr>
        <w:t xml:space="preserve"> твердым покрытием, построены 2 моста через реку Оскол в с. Холки и п.Чернянка. В последние годы в районе активно осуществляются мероприятия в рамках региональных и муниципальных целевых программ по обустройству территорий населенных пунктов, социальных и </w:t>
      </w:r>
      <w:r>
        <w:rPr>
          <w:sz w:val="26"/>
          <w:szCs w:val="26"/>
        </w:rPr>
        <w:t xml:space="preserve">производственных объектов: из них в ходе реализации областной программы «Строительство тротуаров и велосипедных дорожек в Белгородской области в 2009-2011 годах» - 12,964 тыс. кв. м (тротуары были построены вдоль дорог общего пользования местного значения)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В последние годы выполнено благоустройство  дворовых территорий многоквартирных жилых домов на площади 8 305,5 кв.м., отремонтировано 26 км улично-дорожной сети. 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Строительство дорог в населенных пунктах значительно улучшило качество жизни жителей Чернянского района, повысило эффективность работы автомобильного транспорта и безопасность дорожного движения.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Тем не менее, с учетом проведенной инвентаризации и целесообразности  строительства автомобильных дорог, протяженность грунтовых дорог улично-дорожной сети на 1 января 2021 года составляет  53,4 километра.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В рамках реализации приоритетного национального проекта «Доступное и комфортное жилье - гражданам России» в час</w:t>
      </w:r>
      <w:r>
        <w:rPr>
          <w:sz w:val="26"/>
          <w:szCs w:val="26"/>
        </w:rPr>
        <w:t xml:space="preserve">ти реализации   подпрограммы строительства автомобильных дорог в микрорайонах массовой жилищной застройки, за период с 2007 года по 2020 год в микрорайонах индивидуального жилищного строительства  Чернянского района  построено 20,81 км автомобильных дорог.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6. В дорожной отрасли актуальной является и кадровая проблема. Это, прежде всего, дефицит высококвалифицированны</w:t>
      </w:r>
      <w:r>
        <w:rPr>
          <w:sz w:val="26"/>
          <w:szCs w:val="26"/>
        </w:rPr>
        <w:t xml:space="preserve">х специалистов среднего звена: механизаторов, операторов, машинистов грейдеров, экскаваторов и других специальностей. В настоящее время эта проблема решается на уровне  области, где развернута большая работа по подготовке специалистов для дорожной отрасли.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Для решения всех этих проблем разработан комплекс мероприятий подпрограммы 1, который направлен на достижение современной и эффективной работы транспортной инфраструктуры в районе.</w:t>
      </w:r>
      <w:r/>
    </w:p>
    <w:p>
      <w:pPr>
        <w:pStyle w:val="1190"/>
        <w:ind w:left="0" w:right="0" w:firstLine="540"/>
        <w:jc w:val="both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1190"/>
        <w:jc w:val="center"/>
      </w:pPr>
      <w:r>
        <w:rPr>
          <w:b/>
          <w:sz w:val="26"/>
          <w:szCs w:val="26"/>
        </w:rPr>
        <w:t xml:space="preserve">2. Цель (цели), задачи, сроки и этапы реализации подпрограммы 1</w:t>
      </w:r>
      <w:r/>
    </w:p>
    <w:p>
      <w:pPr>
        <w:pStyle w:val="1190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Целью подпрог</w:t>
      </w:r>
      <w:r>
        <w:rPr>
          <w:sz w:val="26"/>
          <w:szCs w:val="26"/>
        </w:rPr>
        <w:t xml:space="preserve">раммы 1 является сохранность и развитие автодорог  местного  значения, относящихся к улично-дорожной сети населенных пунктов  района,  в соответствии с темпами экономического развития района, ростом уровня автомобилизации и объемов автомобильных перевозок.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Для достижения указанной цели предлагается сконцентрировать финансовые и организационные усилия на реализации мероприятий по решению следующих задач: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1.Обеспече</w:t>
      </w:r>
      <w:r>
        <w:rPr>
          <w:sz w:val="26"/>
          <w:szCs w:val="26"/>
        </w:rPr>
        <w:t xml:space="preserve">ние сохранности существующей сети автодорог  местного  значения, относящихся к улично-дорожной сети населенных пунктов  района, улучшение транспортно-эксплуатационных характеристик и потребительских свойств автодорог с целью снижения транспортных издержек.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2. Обеспечение круглогодичной транспортной  доступности сельских населенных пунктов, обеспечение автодорогами с твердым покрытием улично-дорожной сети населенных пунктов, микрорайонов массовой жилищной застройки.</w:t>
      </w:r>
      <w:r/>
    </w:p>
    <w:p>
      <w:pPr>
        <w:pStyle w:val="1190"/>
        <w:ind w:left="0" w:right="0" w:firstLine="540"/>
        <w:jc w:val="both"/>
      </w:pPr>
      <w:r>
        <w:rPr>
          <w:b/>
          <w:sz w:val="26"/>
          <w:szCs w:val="26"/>
        </w:rPr>
        <w:t xml:space="preserve">Сроки реализации подпрограммы 1: 2015-2026 годы, реализуется в  2 этапа.</w:t>
      </w:r>
      <w:r/>
    </w:p>
    <w:p>
      <w:pPr>
        <w:pStyle w:val="1190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pStyle w:val="1190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pStyle w:val="1190"/>
        <w:jc w:val="center"/>
      </w:pPr>
      <w:r>
        <w:rPr>
          <w:b/>
          <w:sz w:val="26"/>
          <w:szCs w:val="26"/>
        </w:rPr>
        <w:t xml:space="preserve">3. Обоснование выделения системы основных мероприятий</w:t>
      </w:r>
      <w:r/>
    </w:p>
    <w:p>
      <w:pPr>
        <w:pStyle w:val="1190"/>
        <w:jc w:val="center"/>
      </w:pPr>
      <w:r>
        <w:rPr>
          <w:b/>
          <w:sz w:val="26"/>
          <w:szCs w:val="26"/>
        </w:rPr>
        <w:t xml:space="preserve">и краткое описание основных мероприятий подпрограммы 1</w:t>
      </w:r>
      <w:r/>
    </w:p>
    <w:p>
      <w:pPr>
        <w:pStyle w:val="119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Подпрограмма 1 предусматривает осуществление комплекса мероприятий по строительству, ремонту и содержанию автомобильных дорог м</w:t>
      </w:r>
      <w:r>
        <w:rPr>
          <w:sz w:val="26"/>
          <w:szCs w:val="26"/>
        </w:rPr>
        <w:t xml:space="preserve">естного  значения, относящихся к улично-дорожной сети населенных пунктов  района и искусственных сооружений на них, безопасности дорожного движения, а также предоставление субсидий бюджетам муниципальных образований за счет средств дорожного фонда области.</w:t>
      </w:r>
      <w:r/>
    </w:p>
    <w:p>
      <w:pPr>
        <w:pStyle w:val="1190"/>
        <w:ind w:left="0" w:right="0" w:firstLine="540"/>
        <w:jc w:val="both"/>
      </w:pPr>
      <w:r>
        <w:rPr>
          <w:b/>
          <w:sz w:val="26"/>
          <w:szCs w:val="26"/>
          <w:u w:val="single"/>
        </w:rPr>
        <w:t xml:space="preserve">Задача 1</w:t>
      </w:r>
      <w:r>
        <w:rPr>
          <w:sz w:val="26"/>
          <w:szCs w:val="26"/>
        </w:rPr>
        <w:t xml:space="preserve">. В рамках решения задачи 1 «Обеспечение сохранности существующей сети автодорог  местного  значения, относящихся к ули</w:t>
      </w:r>
      <w:r>
        <w:rPr>
          <w:sz w:val="26"/>
          <w:szCs w:val="26"/>
        </w:rPr>
        <w:t xml:space="preserve">чно-дорожной сети населенных пунктов  района» планируется реализовать основное мероприятие 1.1 «Содержание и ремонт автомобильных дорог   местного  значения и  искусственных сооружений на них, относящихся к улично-дорожной сети населенных пунктов  района».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Мероприятия по содержанию автомобильных дорог и искусственных сооружений предусматривают проведение полного комплекса круглогодичных работ на всей сети дорог в соответствии с действующим</w:t>
      </w:r>
      <w:r>
        <w:rPr>
          <w:sz w:val="26"/>
          <w:szCs w:val="26"/>
        </w:rPr>
        <w:t xml:space="preserve">и нормативными документами. В программный период необходимо осуществить комплекс мероприятий по обеспечению функционирования эффективной системы содержания дорог, основанной на оптимальном расходовании выделенных средств и материально-технических ресурсов.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Общая протяженность автомобильных дорог местного  значения, относящихся к улично-дорожной сети населенных пунктов района  на  1 января 2023 года составляет 437,913 км, в том числе с твердым покрытием – 384,913 км. 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Мероприятия по ремонту автомобильных дорог и мостов включают в себя: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- ремонтно-восстановительные работы на участках  дорожной сети, требующих неотложного ремонта по показателям безопасности дорожного движения, с последующим переходом к проведению плановых ремонтов в соответствии с нормативными межремонтными сроками;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- ремонтные работы по восстановлению проектной грузоподъемности, повышению долговечности  мостовых сооружений, а также обеспечение нормативных требований по безопасности дорожного движения.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Мероприятия  по повышению безопасности дорожного движения, включающие в себя обустройство автомобильных дорог техническими средствами организации д</w:t>
      </w:r>
      <w:r>
        <w:rPr>
          <w:sz w:val="26"/>
          <w:szCs w:val="26"/>
        </w:rPr>
        <w:t xml:space="preserve">орожного движения и объектами дорожного сервиса в соответствии с современными требованиями к уровню развития транспортной инфраструктуры и обеспечению безопасности дорожного движения, в целях повышения качества предоставляемых транспортных услуг, а именно: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- обустройство автомобильных дорог недостающими дорожными знаками, сигнальными столбиками, ограждениями;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- устройство недостающих остановочных и посадочных площадок и автопавильонов на автобусных остановках;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- реализация проектов организации дорожного движения (ПОДД);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- нанесение горизонтальной разметки на проезжую часть автодорог.</w:t>
      </w:r>
      <w:r/>
    </w:p>
    <w:p>
      <w:pPr>
        <w:pStyle w:val="1190"/>
        <w:ind w:left="0" w:right="0" w:firstLine="540"/>
        <w:jc w:val="both"/>
      </w:pPr>
      <w:r>
        <w:rPr>
          <w:b/>
          <w:sz w:val="26"/>
          <w:szCs w:val="26"/>
          <w:u w:val="single"/>
        </w:rPr>
        <w:t xml:space="preserve">Задача 2</w:t>
      </w:r>
      <w:r>
        <w:rPr>
          <w:sz w:val="26"/>
          <w:szCs w:val="26"/>
        </w:rPr>
        <w:t xml:space="preserve">. В рамках решения задачи 2 «Обеспечение круглогодичной транспортной  доступности сельских населенных пунктов, обеспечение автодорогами с твердым покрытием улично-д</w:t>
      </w:r>
      <w:r>
        <w:rPr>
          <w:sz w:val="26"/>
          <w:szCs w:val="26"/>
        </w:rPr>
        <w:t xml:space="preserve">орожной сети населенных пунктов, микрорайонов массовой жилищной застройки» планируется реализовать основное мероприятие 1.2 «Капитальный ремонт и ремонт автомобильных дорог местного  значения, относящихся к улично-дорожной сети населенных пунктов  района».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К</w:t>
      </w:r>
      <w:r>
        <w:rPr>
          <w:sz w:val="26"/>
          <w:szCs w:val="26"/>
        </w:rPr>
        <w:t xml:space="preserve">апитальный ремонт автомобильных дорог, которые по интенсивности движения не нуждаются в реконструкции с переводом в более высокую категорию, но в связи со значительным увеличением в составе транспортного потока доли большегрузных автомобилей требуют провед</w:t>
      </w:r>
      <w:r>
        <w:rPr>
          <w:sz w:val="26"/>
          <w:szCs w:val="26"/>
        </w:rPr>
        <w:t xml:space="preserve">ения работ поусилению дорожной одежды, совершенствованию системы водоотвода, исправлению продольного профиля на отдельных участках дороги, обустройство дорожными знаками и ограждениями для обеспечения нормативных требований безопасности дорожного движения.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Основное мероприятие 1.3 «Субсидии на строительство (реконструкцию) автомобильных дорог общего пользования местного значения до сельских населенных пунктов, не имеющих круглогодичной связи с сетью автомобил</w:t>
      </w:r>
      <w:r>
        <w:rPr>
          <w:sz w:val="26"/>
          <w:szCs w:val="26"/>
        </w:rPr>
        <w:t xml:space="preserve">ьных дорог общего пользования», предусматривающее выделение субсидий муниципальным образованиям  за счет бюджетных ассигнований дорожного фонда Белгородской области на осуществление дорожной деятельности в отношении дорог местного значения (строительство).</w:t>
      </w:r>
      <w:r/>
    </w:p>
    <w:p>
      <w:pPr>
        <w:pStyle w:val="1190"/>
        <w:ind w:left="0" w:right="0" w:firstLine="540"/>
        <w:jc w:val="both"/>
      </w:pPr>
      <w:r>
        <w:rPr>
          <w:b/>
          <w:sz w:val="26"/>
          <w:szCs w:val="26"/>
          <w:u w:val="single"/>
        </w:rPr>
        <w:t xml:space="preserve">Задача 3</w:t>
      </w:r>
      <w:r>
        <w:rPr>
          <w:sz w:val="26"/>
          <w:szCs w:val="26"/>
        </w:rPr>
        <w:t xml:space="preserve">. В рамках реализации задачи 3 «Обеспечение формирования  адресных программ повышения безоп</w:t>
      </w:r>
      <w:r>
        <w:rPr>
          <w:sz w:val="26"/>
          <w:szCs w:val="26"/>
        </w:rPr>
        <w:t xml:space="preserve">асности дорожного движения пешеходов, в т. ч. обустройство пешеходных переходов техническими средствами организации дорожного движения» планируется реализовать Основное мероприятие 1.4 «Установка новых дорожных знаков и строительство пешеходных тротуаров».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В целом, все запланированные мероприятия подп</w:t>
      </w:r>
      <w:r>
        <w:rPr>
          <w:sz w:val="26"/>
          <w:szCs w:val="26"/>
        </w:rPr>
        <w:t xml:space="preserve">рограммы 1 окажут позитивное влияние на решение социальных проблем, достижение стабилизации экономики, реализацию приоритетных национальных проектов, создание безопасных условий движения транспорта и перевозки пассажиров, повышение комфортности проживания.</w:t>
      </w:r>
      <w:r/>
    </w:p>
    <w:p>
      <w:pPr>
        <w:pStyle w:val="1190"/>
        <w:ind w:left="0" w:right="0" w:firstLine="540"/>
        <w:jc w:val="both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1190"/>
        <w:jc w:val="center"/>
      </w:pPr>
      <w:r>
        <w:rPr>
          <w:b/>
          <w:sz w:val="26"/>
          <w:szCs w:val="26"/>
        </w:rPr>
        <w:t xml:space="preserve">4. Ресурсное обеспечение подпрограммы 1</w:t>
      </w:r>
      <w:r/>
    </w:p>
    <w:p>
      <w:pPr>
        <w:pStyle w:val="1190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pStyle w:val="1190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Расходы на реализацию подпрограммы 1 формируются за счет средств областного, районного бюджетов.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Планируемый общий объем финансирования муниципальной программы в 2015 - 2026 годах за счет всех источников финансирования составит   711 799,6 тыс. рублей.</w:t>
      </w:r>
      <w:r/>
    </w:p>
    <w:p>
      <w:pPr>
        <w:pStyle w:val="1190"/>
        <w:ind w:left="0" w:right="0" w:firstLine="540"/>
        <w:jc w:val="both"/>
        <w:rPr>
          <w:sz w:val="26"/>
          <w:szCs w:val="26"/>
          <w:lang w:eastAsia="en-US"/>
        </w:rPr>
      </w:pPr>
      <w:r>
        <w:rPr>
          <w:color w:val="000000"/>
          <w:sz w:val="26"/>
          <w:szCs w:val="26"/>
          <w:lang w:eastAsia="en-US"/>
        </w:rPr>
        <w:t xml:space="preserve">Объем финансирования </w:t>
      </w:r>
      <w:r>
        <w:rPr>
          <w:sz w:val="26"/>
          <w:szCs w:val="26"/>
        </w:rPr>
        <w:t xml:space="preserve">подпрограммы 1 </w:t>
      </w:r>
      <w:r>
        <w:rPr>
          <w:color w:val="000000"/>
          <w:sz w:val="26"/>
          <w:szCs w:val="26"/>
          <w:lang w:eastAsia="en-US"/>
        </w:rPr>
        <w:t xml:space="preserve">в 2015 - 2026 годах за счет средств областного бюджета </w:t>
      </w:r>
      <w:r>
        <w:rPr>
          <w:sz w:val="26"/>
          <w:szCs w:val="26"/>
          <w:lang w:eastAsia="en-US"/>
        </w:rPr>
        <w:t xml:space="preserve">составит  - 472 149,4 тыс.  рублей, в том числе:</w:t>
      </w:r>
      <w:r/>
    </w:p>
    <w:p>
      <w:pPr>
        <w:pStyle w:val="1190"/>
        <w:jc w:val="both"/>
        <w:widowControl w:val="off"/>
      </w:pPr>
      <w:r>
        <w:rPr>
          <w:sz w:val="26"/>
          <w:szCs w:val="26"/>
          <w:lang w:eastAsia="en-US"/>
        </w:rPr>
      </w:r>
      <w:r>
        <w:rPr>
          <w:sz w:val="26"/>
          <w:szCs w:val="26"/>
        </w:rPr>
        <w:t xml:space="preserve">2015 год - 0 тыс. рублей;</w:t>
      </w:r>
      <w:r/>
    </w:p>
    <w:p>
      <w:pPr>
        <w:pStyle w:val="1190"/>
        <w:jc w:val="both"/>
        <w:widowControl w:val="off"/>
      </w:pPr>
      <w:r>
        <w:rPr>
          <w:sz w:val="26"/>
          <w:szCs w:val="26"/>
        </w:rPr>
        <w:t xml:space="preserve">2016 год - 0 тыс. рублей;</w:t>
      </w:r>
      <w:r/>
    </w:p>
    <w:p>
      <w:pPr>
        <w:pStyle w:val="1190"/>
        <w:jc w:val="both"/>
        <w:widowControl w:val="off"/>
      </w:pPr>
      <w:r>
        <w:rPr>
          <w:sz w:val="26"/>
          <w:szCs w:val="26"/>
        </w:rPr>
        <w:t xml:space="preserve">2017 год - 0 тыс. рублей;</w:t>
      </w:r>
      <w:r/>
    </w:p>
    <w:p>
      <w:pPr>
        <w:pStyle w:val="1190"/>
        <w:jc w:val="both"/>
        <w:widowControl w:val="off"/>
      </w:pPr>
      <w:r>
        <w:rPr>
          <w:sz w:val="26"/>
          <w:szCs w:val="26"/>
        </w:rPr>
        <w:t xml:space="preserve">2018 год -  15 478 тыс. рублей;</w:t>
      </w:r>
      <w:r/>
    </w:p>
    <w:p>
      <w:pPr>
        <w:pStyle w:val="1190"/>
        <w:jc w:val="both"/>
        <w:widowControl w:val="off"/>
      </w:pPr>
      <w:r>
        <w:rPr>
          <w:sz w:val="26"/>
          <w:szCs w:val="26"/>
        </w:rPr>
        <w:t xml:space="preserve">2019 год -  116 800 тыс. рублей;</w:t>
      </w:r>
      <w:r/>
    </w:p>
    <w:p>
      <w:pPr>
        <w:pStyle w:val="1190"/>
        <w:jc w:val="both"/>
        <w:widowControl w:val="off"/>
      </w:pPr>
      <w:r>
        <w:rPr>
          <w:sz w:val="26"/>
          <w:szCs w:val="26"/>
        </w:rPr>
        <w:t xml:space="preserve">2020 год -  68 981 тыс. рублей.</w:t>
      </w:r>
      <w:r/>
    </w:p>
    <w:p>
      <w:pPr>
        <w:pStyle w:val="1190"/>
        <w:jc w:val="both"/>
        <w:widowControl w:val="off"/>
      </w:pPr>
      <w:r>
        <w:rPr>
          <w:sz w:val="26"/>
          <w:szCs w:val="26"/>
        </w:rPr>
        <w:t xml:space="preserve">2021 год -  85 061,8 тыс. рублей;</w:t>
      </w:r>
      <w:r/>
    </w:p>
    <w:p>
      <w:pPr>
        <w:pStyle w:val="1190"/>
        <w:jc w:val="both"/>
        <w:widowControl w:val="off"/>
      </w:pPr>
      <w:r>
        <w:rPr>
          <w:sz w:val="26"/>
          <w:szCs w:val="26"/>
        </w:rPr>
        <w:t xml:space="preserve">2022 год – 46 116,8 тыс. рублей;</w:t>
      </w:r>
      <w:r/>
    </w:p>
    <w:p>
      <w:pPr>
        <w:pStyle w:val="1190"/>
        <w:jc w:val="both"/>
        <w:widowControl w:val="off"/>
      </w:pPr>
      <w:r>
        <w:rPr>
          <w:sz w:val="26"/>
          <w:szCs w:val="26"/>
        </w:rPr>
        <w:t xml:space="preserve">2023 год -  63 899,6 тыс. рублей;</w:t>
      </w:r>
      <w:r/>
    </w:p>
    <w:p>
      <w:pPr>
        <w:pStyle w:val="1190"/>
        <w:jc w:val="both"/>
        <w:widowControl w:val="off"/>
      </w:pPr>
      <w:r>
        <w:rPr>
          <w:sz w:val="26"/>
          <w:szCs w:val="26"/>
        </w:rPr>
        <w:t xml:space="preserve">2024 год -  75 812,2 тыс. рублей;</w:t>
      </w:r>
      <w:r/>
    </w:p>
    <w:p>
      <w:pPr>
        <w:pStyle w:val="1190"/>
        <w:jc w:val="both"/>
        <w:widowControl w:val="off"/>
      </w:pPr>
      <w:r>
        <w:rPr>
          <w:sz w:val="26"/>
          <w:szCs w:val="26"/>
        </w:rPr>
        <w:t xml:space="preserve">2025 год – 0 тыс. рублей; </w:t>
      </w:r>
      <w:r>
        <w:rPr>
          <w:sz w:val="26"/>
          <w:szCs w:val="26"/>
        </w:rPr>
      </w:r>
      <w:r/>
    </w:p>
    <w:p>
      <w:pPr>
        <w:ind w:left="0" w:right="0" w:firstLine="0"/>
        <w:jc w:val="both"/>
      </w:pPr>
      <w:r>
        <w:rPr>
          <w:sz w:val="26"/>
          <w:szCs w:val="26"/>
        </w:rPr>
        <w:t xml:space="preserve">2026 год – 0 тыс. рублей;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Объем финансирования мероприятий подпрограммы 1 за счет средств районного бюджета составляет 239 650,2 тыс. рублей, в том числе по годам реализации:</w:t>
      </w:r>
      <w:r/>
    </w:p>
    <w:p>
      <w:pPr>
        <w:pStyle w:val="1190"/>
        <w:jc w:val="both"/>
        <w:widowControl w:val="off"/>
      </w:pPr>
      <w:r>
        <w:rPr>
          <w:sz w:val="26"/>
          <w:szCs w:val="26"/>
        </w:rPr>
        <w:t xml:space="preserve">2015 год -  15 815 тыс. рублей;</w:t>
      </w:r>
      <w:r/>
    </w:p>
    <w:p>
      <w:pPr>
        <w:pStyle w:val="1190"/>
        <w:jc w:val="both"/>
        <w:widowControl w:val="off"/>
      </w:pPr>
      <w:r>
        <w:rPr>
          <w:sz w:val="26"/>
          <w:szCs w:val="26"/>
        </w:rPr>
        <w:t xml:space="preserve">2016 год -  18 827 тыс. рублей;</w:t>
      </w:r>
      <w:r/>
    </w:p>
    <w:p>
      <w:pPr>
        <w:pStyle w:val="1190"/>
        <w:jc w:val="both"/>
        <w:widowControl w:val="off"/>
      </w:pPr>
      <w:r>
        <w:rPr>
          <w:sz w:val="26"/>
          <w:szCs w:val="26"/>
        </w:rPr>
        <w:t xml:space="preserve">2017 год -  18 415 тыс. рублей;</w:t>
      </w:r>
      <w:r/>
    </w:p>
    <w:p>
      <w:pPr>
        <w:pStyle w:val="1190"/>
        <w:jc w:val="both"/>
        <w:widowControl w:val="off"/>
      </w:pPr>
      <w:r>
        <w:rPr>
          <w:sz w:val="26"/>
          <w:szCs w:val="26"/>
        </w:rPr>
        <w:t xml:space="preserve">2018 год -  20 073 тыс. рублей;</w:t>
      </w:r>
      <w:r/>
    </w:p>
    <w:p>
      <w:pPr>
        <w:pStyle w:val="1190"/>
        <w:jc w:val="both"/>
        <w:widowControl w:val="off"/>
      </w:pPr>
      <w:r>
        <w:rPr>
          <w:sz w:val="26"/>
          <w:szCs w:val="26"/>
        </w:rPr>
        <w:t xml:space="preserve">2019 год -  22 453 тыс. рублей;</w:t>
      </w:r>
      <w:r/>
    </w:p>
    <w:p>
      <w:pPr>
        <w:pStyle w:val="1190"/>
        <w:jc w:val="both"/>
        <w:widowControl w:val="off"/>
      </w:pPr>
      <w:r>
        <w:rPr>
          <w:sz w:val="26"/>
          <w:szCs w:val="26"/>
        </w:rPr>
        <w:t xml:space="preserve">2020 год -  28 969 тыс. рублей.</w:t>
      </w:r>
      <w:r/>
    </w:p>
    <w:p>
      <w:pPr>
        <w:pStyle w:val="1190"/>
        <w:jc w:val="both"/>
        <w:widowControl w:val="off"/>
      </w:pPr>
      <w:r>
        <w:rPr>
          <w:sz w:val="26"/>
          <w:szCs w:val="26"/>
        </w:rPr>
        <w:t xml:space="preserve">2021 год -  20 422,6 тыс. рублей;</w:t>
      </w:r>
      <w:r/>
    </w:p>
    <w:p>
      <w:pPr>
        <w:pStyle w:val="1190"/>
        <w:jc w:val="both"/>
        <w:widowControl w:val="off"/>
      </w:pPr>
      <w:r>
        <w:rPr>
          <w:sz w:val="26"/>
          <w:szCs w:val="26"/>
        </w:rPr>
        <w:t xml:space="preserve">2022 год – 22 126,5 тыс. рублей;</w:t>
      </w:r>
      <w:r/>
    </w:p>
    <w:p>
      <w:pPr>
        <w:pStyle w:val="1190"/>
        <w:jc w:val="both"/>
        <w:widowControl w:val="off"/>
      </w:pPr>
      <w:r>
        <w:rPr>
          <w:sz w:val="26"/>
          <w:szCs w:val="26"/>
        </w:rPr>
        <w:t xml:space="preserve">2</w:t>
      </w:r>
      <w:r>
        <w:rPr>
          <w:sz w:val="26"/>
          <w:szCs w:val="26"/>
        </w:rPr>
        <w:t xml:space="preserve">023 год -  19 700,3 тыс. рублей;</w:t>
      </w:r>
      <w:r/>
    </w:p>
    <w:p>
      <w:pPr>
        <w:pStyle w:val="1190"/>
        <w:jc w:val="both"/>
        <w:widowControl w:val="off"/>
      </w:pPr>
      <w:r>
        <w:rPr>
          <w:sz w:val="26"/>
          <w:szCs w:val="26"/>
        </w:rPr>
        <w:t xml:space="preserve">2024 год -  19 824,8 тыс. рублей;</w:t>
      </w:r>
      <w:r/>
    </w:p>
    <w:p>
      <w:pPr>
        <w:pStyle w:val="1190"/>
        <w:jc w:val="both"/>
        <w:widowControl w:val="off"/>
      </w:pPr>
      <w:r>
        <w:rPr>
          <w:sz w:val="26"/>
          <w:szCs w:val="26"/>
        </w:rPr>
        <w:t xml:space="preserve">2025 год – 18 624 тыс. рублей; </w:t>
      </w:r>
      <w:r>
        <w:rPr>
          <w:sz w:val="26"/>
          <w:szCs w:val="26"/>
        </w:rPr>
      </w:r>
      <w:r/>
    </w:p>
    <w:p>
      <w:pPr>
        <w:jc w:val="both"/>
        <w:widowControl w:val="off"/>
      </w:pPr>
      <w:r>
        <w:rPr>
          <w:sz w:val="26"/>
          <w:szCs w:val="26"/>
        </w:rPr>
        <w:t xml:space="preserve">2026 год – 14 400 тыс. рублей</w:t>
      </w:r>
      <w:r>
        <w:rPr>
          <w:sz w:val="26"/>
          <w:szCs w:val="26"/>
        </w:rPr>
        <w:t xml:space="preserve">  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Ресурсное обеспечение и прогнозная (справочная) оценка расходо</w:t>
      </w:r>
      <w:r>
        <w:rPr>
          <w:sz w:val="26"/>
          <w:szCs w:val="26"/>
        </w:rPr>
        <w:t xml:space="preserve">в на реализацию мероприятий подпрограммы 1 из различных источников финансирования и ресурсное обеспечение реализации подпрограммы 1 за счет средств районного  бюджета  по годам представлены соответственно в приложениях № 3 и № 4 к муниципальной  программе.</w:t>
      </w:r>
      <w:r/>
    </w:p>
    <w:p>
      <w:pPr>
        <w:pStyle w:val="1190"/>
        <w:ind w:left="0" w:right="0" w:firstLine="540"/>
        <w:jc w:val="both"/>
        <w:rPr>
          <w:sz w:val="26"/>
          <w:szCs w:val="26"/>
          <w:highlight w:val="none"/>
        </w:rPr>
      </w:pPr>
      <w:r>
        <w:rPr>
          <w:sz w:val="26"/>
          <w:szCs w:val="26"/>
        </w:rPr>
        <w:t xml:space="preserve">Объем финансового обеспечения подпрограммы 1 подлежит ежегодному уточнению в рамках подготовки проекта районного бюджете на очередной финансовый год и плановый период.</w:t>
      </w:r>
      <w:r/>
    </w:p>
    <w:p>
      <w:pPr>
        <w:ind w:left="0" w:right="0" w:firstLine="540"/>
        <w:jc w:val="both"/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/>
    </w:p>
    <w:p>
      <w:pPr>
        <w:pStyle w:val="1190"/>
        <w:ind w:left="0" w:right="0" w:firstLine="540"/>
        <w:jc w:val="both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1190"/>
        <w:jc w:val="center"/>
      </w:pPr>
      <w:r>
        <w:rPr>
          <w:b/>
          <w:sz w:val="26"/>
          <w:szCs w:val="26"/>
        </w:rPr>
        <w:t xml:space="preserve">5. Прогноз показателей конечного результата </w:t>
      </w:r>
      <w:r/>
    </w:p>
    <w:p>
      <w:pPr>
        <w:pStyle w:val="1190"/>
        <w:jc w:val="center"/>
      </w:pPr>
      <w:r>
        <w:rPr>
          <w:b/>
          <w:sz w:val="26"/>
          <w:szCs w:val="26"/>
        </w:rPr>
        <w:t xml:space="preserve">реализации подпрограммы 1.</w:t>
      </w:r>
      <w:r/>
    </w:p>
    <w:p>
      <w:pPr>
        <w:pStyle w:val="1190"/>
        <w:rPr>
          <w:b/>
          <w:sz w:val="26"/>
          <w:szCs w:val="26"/>
          <w:shd w:val="clear" w:color="auto" w:fill="ffff00"/>
        </w:rPr>
      </w:pPr>
      <w:r>
        <w:rPr>
          <w:b/>
          <w:sz w:val="26"/>
          <w:szCs w:val="26"/>
          <w:shd w:val="clear" w:color="auto" w:fill="ffff00"/>
        </w:rPr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В результате реализации мероприятий подпрограммы 1 к 2027 году:</w:t>
      </w:r>
      <w:r/>
    </w:p>
    <w:p>
      <w:pPr>
        <w:pStyle w:val="1190"/>
        <w:ind w:left="0" w:right="0" w:firstLine="540"/>
        <w:jc w:val="both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1190"/>
        <w:ind w:left="0" w:right="0" w:firstLine="567"/>
        <w:jc w:val="both"/>
      </w:pPr>
      <w:r>
        <w:rPr>
          <w:sz w:val="26"/>
          <w:szCs w:val="26"/>
        </w:rPr>
        <w:t xml:space="preserve">1. У</w:t>
      </w:r>
      <w:r>
        <w:rPr>
          <w:sz w:val="26"/>
          <w:szCs w:val="26"/>
        </w:rPr>
        <w:t xml:space="preserve">величение доли автомобильных дорог  местного  значения, относящихся к улично-дорожной сети населенных пунктов  района, отвечающих нормативным требованиям в общей протяженности автомобильных дорог, относящихся  к улично-дорожной  сети   до   95,2 процентов.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2.Увеличение общей протяженности отремонтированных  автодорог  местного  значения, относящихся к улично-дорожной сети населенных пунктов  района на 70 км.</w:t>
      </w:r>
      <w:r/>
    </w:p>
    <w:p>
      <w:pPr>
        <w:pStyle w:val="1190"/>
        <w:ind w:left="0" w:right="0" w:firstLine="567"/>
      </w:pPr>
      <w:r>
        <w:rPr>
          <w:sz w:val="26"/>
          <w:szCs w:val="26"/>
        </w:rPr>
        <w:t xml:space="preserve">3. Увеличение густоты автомобильных дорог, относящихся к улично-дорожной сети населенных пунктов района   с твердым покрытием на 1000 кв. км территории до 333,3 км.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4. Увеличение протяженности построенных автомобильных дорог  по улично-дорожной сети населенных пунктов на 18,139 км.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Сведения о динамике значений показателей конечного и непосредственного результатов представлены в приложении № 1 к  муниципальной программе.</w:t>
      </w:r>
      <w:r/>
    </w:p>
    <w:p>
      <w:pPr>
        <w:pStyle w:val="1190"/>
        <w:rPr>
          <w:sz w:val="26"/>
          <w:szCs w:val="26"/>
          <w:shd w:val="clear" w:color="auto" w:fill="ffff00"/>
        </w:rPr>
      </w:pPr>
      <w:r>
        <w:rPr>
          <w:sz w:val="26"/>
          <w:szCs w:val="26"/>
          <w:shd w:val="clear" w:color="auto" w:fill="ffff00"/>
        </w:rPr>
      </w:r>
      <w:r/>
    </w:p>
    <w:p>
      <w:pPr>
        <w:pStyle w:val="1190"/>
        <w:rPr>
          <w:b/>
          <w:sz w:val="26"/>
          <w:szCs w:val="26"/>
          <w:shd w:val="clear" w:color="auto" w:fill="ffff00"/>
        </w:rPr>
      </w:pPr>
      <w:r>
        <w:rPr>
          <w:b/>
          <w:sz w:val="26"/>
          <w:szCs w:val="26"/>
          <w:shd w:val="clear" w:color="auto" w:fill="ffff00"/>
        </w:rPr>
      </w:r>
      <w:r/>
    </w:p>
    <w:p>
      <w:pPr>
        <w:pStyle w:val="1190"/>
        <w:rPr>
          <w:b/>
          <w:sz w:val="26"/>
          <w:szCs w:val="26"/>
          <w:shd w:val="clear" w:color="auto" w:fill="ffff00"/>
        </w:rPr>
      </w:pPr>
      <w:r>
        <w:rPr>
          <w:b/>
          <w:sz w:val="26"/>
          <w:szCs w:val="26"/>
          <w:shd w:val="clear" w:color="auto" w:fill="ffff00"/>
        </w:rPr>
      </w:r>
      <w:r/>
    </w:p>
    <w:p>
      <w:pPr>
        <w:pStyle w:val="1190"/>
        <w:ind w:left="0" w:right="0" w:firstLine="708"/>
        <w:jc w:val="center"/>
        <w:rPr>
          <w:b/>
          <w:sz w:val="26"/>
          <w:szCs w:val="26"/>
          <w:shd w:val="clear" w:color="auto" w:fill="ffff00"/>
        </w:rPr>
      </w:pPr>
      <w:r>
        <w:rPr>
          <w:b/>
          <w:sz w:val="26"/>
          <w:szCs w:val="26"/>
          <w:shd w:val="clear" w:color="auto" w:fill="ffff00"/>
        </w:rPr>
      </w:r>
      <w:r/>
    </w:p>
    <w:p>
      <w:pPr>
        <w:pStyle w:val="1190"/>
        <w:ind w:left="0" w:right="0" w:firstLine="708"/>
        <w:jc w:val="center"/>
        <w:rPr>
          <w:b/>
          <w:sz w:val="26"/>
          <w:szCs w:val="26"/>
          <w:shd w:val="clear" w:color="auto" w:fill="ffff00"/>
        </w:rPr>
      </w:pPr>
      <w:r>
        <w:rPr>
          <w:b/>
          <w:sz w:val="26"/>
          <w:szCs w:val="26"/>
          <w:shd w:val="clear" w:color="auto" w:fill="ffff00"/>
        </w:rPr>
      </w:r>
      <w:r/>
    </w:p>
    <w:p>
      <w:pPr>
        <w:pStyle w:val="1190"/>
        <w:rPr>
          <w:b/>
          <w:sz w:val="26"/>
          <w:szCs w:val="26"/>
          <w:shd w:val="clear" w:color="auto" w:fill="ffff00"/>
        </w:rPr>
      </w:pPr>
      <w:r>
        <w:rPr>
          <w:b/>
          <w:sz w:val="26"/>
          <w:szCs w:val="26"/>
          <w:shd w:val="clear" w:color="auto" w:fill="ffff00"/>
        </w:rPr>
      </w:r>
      <w:r/>
    </w:p>
    <w:p>
      <w:pPr>
        <w:pStyle w:val="1190"/>
        <w:rPr>
          <w:b/>
          <w:bCs/>
          <w:color w:val="000000" w:themeColor="text1"/>
          <w:sz w:val="26"/>
          <w:szCs w:val="26"/>
          <w:highlight w:val="white"/>
          <w:shd w:val="clear" w:color="auto" w:fill="ffff00"/>
        </w:rPr>
      </w:pPr>
      <w:r>
        <w:rPr>
          <w:b/>
          <w:color w:val="000000" w:themeColor="text1"/>
          <w:sz w:val="26"/>
          <w:szCs w:val="26"/>
          <w:highlight w:val="white"/>
          <w:shd w:val="clear" w:color="auto" w:fill="ffff00"/>
        </w:rPr>
      </w:r>
      <w:r>
        <w:rPr>
          <w:color w:val="000000" w:themeColor="text1"/>
          <w:highlight w:val="white"/>
        </w:rPr>
      </w:r>
      <w:r/>
    </w:p>
    <w:p>
      <w:pPr>
        <w:pStyle w:val="1190"/>
        <w:ind w:left="0" w:right="0" w:firstLine="0"/>
        <w:jc w:val="center"/>
        <w:rPr>
          <w:b/>
          <w:sz w:val="26"/>
          <w:szCs w:val="26"/>
          <w:shd w:val="clear" w:color="auto" w:fill="ffff00"/>
        </w:rPr>
      </w:pPr>
      <w:r>
        <w:rPr>
          <w:b/>
          <w:sz w:val="26"/>
          <w:szCs w:val="26"/>
          <w:shd w:val="clear" w:color="auto" w:fill="ffff00"/>
        </w:rPr>
      </w:r>
      <w:r/>
    </w:p>
    <w:p>
      <w:pPr>
        <w:ind w:left="0" w:right="0" w:firstLine="708"/>
        <w:jc w:val="center"/>
      </w:pP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  <w:r/>
    </w:p>
    <w:p>
      <w:pPr>
        <w:ind w:left="0" w:right="0" w:firstLine="708"/>
        <w:jc w:val="center"/>
        <w:rPr>
          <w:b/>
          <w:bCs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  <w:r/>
    </w:p>
    <w:p>
      <w:pPr>
        <w:ind w:left="0" w:right="0" w:firstLine="708"/>
        <w:jc w:val="center"/>
        <w:rPr>
          <w:b/>
          <w:bCs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  <w:r/>
    </w:p>
    <w:p>
      <w:pPr>
        <w:ind w:left="0" w:right="0" w:firstLine="708"/>
        <w:jc w:val="center"/>
        <w:rPr>
          <w:b/>
          <w:bCs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  <w:r/>
    </w:p>
    <w:p>
      <w:pPr>
        <w:ind w:left="0" w:right="0" w:firstLine="708"/>
        <w:jc w:val="center"/>
        <w:rPr>
          <w:b/>
          <w:bCs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  <w:r/>
    </w:p>
    <w:p>
      <w:pPr>
        <w:ind w:left="0" w:right="0" w:firstLine="708"/>
        <w:jc w:val="center"/>
        <w:rPr>
          <w:b/>
          <w:bCs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  <w:r/>
    </w:p>
    <w:p>
      <w:pPr>
        <w:ind w:left="0" w:right="0" w:firstLine="708"/>
        <w:jc w:val="center"/>
        <w:rPr>
          <w:b/>
          <w:bCs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  <w:r/>
    </w:p>
    <w:p>
      <w:pPr>
        <w:ind w:left="0" w:right="0" w:firstLine="708"/>
        <w:jc w:val="center"/>
        <w:rPr>
          <w:b/>
          <w:bCs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  <w:r/>
    </w:p>
    <w:p>
      <w:pPr>
        <w:ind w:left="0" w:right="0" w:firstLine="708"/>
        <w:jc w:val="center"/>
        <w:rPr>
          <w:b/>
          <w:bCs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  <w:r/>
    </w:p>
    <w:p>
      <w:pPr>
        <w:ind w:left="0" w:right="0" w:firstLine="708"/>
        <w:jc w:val="center"/>
        <w:rPr>
          <w:b/>
          <w:bCs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  <w:r/>
    </w:p>
    <w:p>
      <w:pPr>
        <w:ind w:left="0" w:right="0" w:firstLine="708"/>
        <w:jc w:val="center"/>
        <w:rPr>
          <w:b/>
          <w:bCs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  <w:r/>
    </w:p>
    <w:p>
      <w:pPr>
        <w:ind w:left="0" w:right="0" w:firstLine="708"/>
        <w:jc w:val="center"/>
        <w:rPr>
          <w:b/>
          <w:bCs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  <w:r/>
    </w:p>
    <w:p>
      <w:pPr>
        <w:ind w:left="0" w:right="0" w:firstLine="708"/>
        <w:jc w:val="center"/>
        <w:rPr>
          <w:b/>
          <w:bCs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  <w:r/>
    </w:p>
    <w:p>
      <w:pPr>
        <w:ind w:left="0" w:right="0" w:firstLine="708"/>
        <w:jc w:val="center"/>
        <w:rPr>
          <w:b/>
          <w:bCs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  <w:r/>
    </w:p>
    <w:p>
      <w:pPr>
        <w:ind w:left="0" w:right="0" w:firstLine="708"/>
        <w:jc w:val="center"/>
        <w:rPr>
          <w:b/>
          <w:bCs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  <w:r/>
    </w:p>
    <w:p>
      <w:pPr>
        <w:ind w:left="0" w:right="0" w:firstLine="708"/>
        <w:jc w:val="center"/>
        <w:rPr>
          <w:b/>
          <w:bCs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  <w:r/>
    </w:p>
    <w:p>
      <w:pPr>
        <w:ind w:left="0" w:right="0" w:firstLine="708"/>
        <w:jc w:val="center"/>
        <w:rPr>
          <w:b/>
          <w:bCs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  <w:r/>
    </w:p>
    <w:p>
      <w:pPr>
        <w:ind w:left="0" w:right="0" w:firstLine="708"/>
        <w:jc w:val="center"/>
        <w:rPr>
          <w:b/>
          <w:bCs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  <w:r/>
    </w:p>
    <w:p>
      <w:pPr>
        <w:ind w:left="0" w:right="0" w:firstLine="708"/>
        <w:jc w:val="center"/>
        <w:rPr>
          <w:b/>
          <w:bCs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  <w:r/>
    </w:p>
    <w:p>
      <w:pPr>
        <w:ind w:left="0" w:right="0" w:firstLine="708"/>
        <w:jc w:val="center"/>
        <w:rPr>
          <w:b/>
          <w:bCs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  <w:r/>
    </w:p>
    <w:p>
      <w:pPr>
        <w:ind w:left="0" w:right="0" w:firstLine="708"/>
        <w:jc w:val="center"/>
        <w:rPr>
          <w:b/>
          <w:bCs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  <w:r/>
    </w:p>
    <w:p>
      <w:pPr>
        <w:ind w:left="0" w:right="0" w:firstLine="708"/>
        <w:jc w:val="center"/>
        <w:rPr>
          <w:b/>
          <w:bCs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  <w:r/>
    </w:p>
    <w:p>
      <w:pPr>
        <w:ind w:left="0" w:right="0" w:firstLine="708"/>
        <w:jc w:val="center"/>
        <w:rPr>
          <w:b/>
          <w:bCs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  <w:r/>
    </w:p>
    <w:p>
      <w:pPr>
        <w:ind w:left="0" w:right="0" w:firstLine="708"/>
        <w:jc w:val="center"/>
        <w:rPr>
          <w:b/>
          <w:bCs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  <w:r/>
    </w:p>
    <w:p>
      <w:pPr>
        <w:ind w:left="0" w:right="0" w:firstLine="708"/>
        <w:jc w:val="center"/>
        <w:rPr>
          <w:b/>
          <w:bCs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  <w:r/>
    </w:p>
    <w:p>
      <w:pPr>
        <w:ind w:left="0" w:right="0" w:firstLine="708"/>
        <w:jc w:val="center"/>
        <w:rPr>
          <w:b/>
          <w:bCs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  <w:r/>
    </w:p>
    <w:p>
      <w:pPr>
        <w:pStyle w:val="1190"/>
        <w:ind w:left="0" w:right="0" w:firstLine="708"/>
        <w:jc w:val="center"/>
        <w:rPr>
          <w:b/>
          <w:bCs/>
          <w:sz w:val="26"/>
          <w:szCs w:val="26"/>
          <w:highlight w:val="none"/>
        </w:rPr>
      </w:pPr>
      <w:r>
        <w:rPr>
          <w:b/>
          <w:sz w:val="26"/>
          <w:szCs w:val="26"/>
        </w:rPr>
        <w:t xml:space="preserve">Подпрограмма 2. «Совершенствование и развитие </w:t>
      </w:r>
      <w:r/>
    </w:p>
    <w:p>
      <w:pPr>
        <w:pStyle w:val="1190"/>
        <w:ind w:left="0" w:right="0" w:firstLine="708"/>
        <w:jc w:val="center"/>
      </w:pPr>
      <w:r>
        <w:rPr>
          <w:b/>
          <w:sz w:val="26"/>
          <w:szCs w:val="26"/>
        </w:rPr>
        <w:t xml:space="preserve">транспортной системы Чернянского района»</w:t>
      </w:r>
      <w:r/>
    </w:p>
    <w:p>
      <w:pPr>
        <w:pStyle w:val="1190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pStyle w:val="1190"/>
        <w:jc w:val="center"/>
      </w:pPr>
      <w:r>
        <w:rPr>
          <w:b/>
          <w:sz w:val="26"/>
          <w:szCs w:val="26"/>
        </w:rPr>
        <w:t xml:space="preserve">Паспорт</w:t>
      </w:r>
      <w:r/>
    </w:p>
    <w:p>
      <w:pPr>
        <w:pStyle w:val="119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tbl>
      <w:tblPr>
        <w:tblW w:w="0" w:type="auto"/>
        <w:tblInd w:w="0" w:type="dxa"/>
        <w:tblLayout w:type="fixed"/>
        <w:tblCellMar>
          <w:left w:w="75" w:type="dxa"/>
          <w:top w:w="0" w:type="dxa"/>
          <w:right w:w="75" w:type="dxa"/>
          <w:bottom w:w="0" w:type="dxa"/>
        </w:tblCellMar>
        <w:tblLook w:val="04A0" w:firstRow="1" w:lastRow="0" w:firstColumn="1" w:lastColumn="0" w:noHBand="0" w:noVBand="1"/>
      </w:tblPr>
      <w:tblGrid>
        <w:gridCol w:w="667"/>
        <w:gridCol w:w="3302"/>
        <w:gridCol w:w="5718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7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6"/>
                <w:szCs w:val="26"/>
              </w:rPr>
              <w:t xml:space="preserve">№ </w:t>
            </w:r>
            <w:r>
              <w:rPr>
                <w:sz w:val="26"/>
                <w:szCs w:val="26"/>
              </w:rPr>
              <w:t xml:space="preserve">п/п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2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6"/>
                <w:szCs w:val="26"/>
              </w:rPr>
              <w:t xml:space="preserve">Наименование подпрограммы 2: «Совершенствование и развитие транспортной системы» (далее - подпрограмма 2)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7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6"/>
                <w:szCs w:val="26"/>
              </w:rPr>
              <w:t xml:space="preserve">1.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2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6"/>
                <w:szCs w:val="26"/>
              </w:rPr>
              <w:t xml:space="preserve">Соисполнитель муниципальной программы, </w:t>
            </w:r>
            <w:r/>
          </w:p>
          <w:p>
            <w:pPr>
              <w:pStyle w:val="1190"/>
              <w:jc w:val="center"/>
              <w:widowControl w:val="off"/>
            </w:pPr>
            <w:r>
              <w:rPr>
                <w:sz w:val="26"/>
                <w:szCs w:val="26"/>
              </w:rPr>
              <w:t xml:space="preserve">ответственный за подпрограмму 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18" w:type="dxa"/>
            <w:vAlign w:val="center"/>
            <w:textDirection w:val="lrTb"/>
            <w:noWrap w:val="false"/>
          </w:tcPr>
          <w:p>
            <w:pPr>
              <w:pStyle w:val="1190"/>
              <w:jc w:val="both"/>
            </w:pPr>
            <w:r>
              <w:rPr>
                <w:sz w:val="26"/>
                <w:szCs w:val="26"/>
              </w:rPr>
              <w:t xml:space="preserve">МКУ «Управление строительства, транспорта, связи и ЖКХ» Чернянского района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7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6"/>
                <w:szCs w:val="26"/>
              </w:rPr>
              <w:t xml:space="preserve">2.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2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6"/>
                <w:szCs w:val="26"/>
              </w:rPr>
              <w:t xml:space="preserve">Участники подпрограммы 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18" w:type="dxa"/>
            <w:vAlign w:val="center"/>
            <w:textDirection w:val="lrTb"/>
            <w:noWrap w:val="false"/>
          </w:tcPr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</w:rPr>
              <w:t xml:space="preserve">МКУ «Управление строительства, транспорта, связи и ЖКХ» Чернянского района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7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6"/>
                <w:szCs w:val="26"/>
              </w:rPr>
              <w:t xml:space="preserve">3.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2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6"/>
                <w:szCs w:val="26"/>
              </w:rPr>
              <w:t xml:space="preserve">Цель (цели) подпрограммы 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18" w:type="dxa"/>
            <w:vAlign w:val="center"/>
            <w:textDirection w:val="lrTb"/>
            <w:noWrap w:val="false"/>
          </w:tcPr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</w:rPr>
              <w:t xml:space="preserve">Создание условий для устойчивого функционирования системы пассажирских перевозок в Чернянском районе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7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6"/>
                <w:szCs w:val="26"/>
              </w:rPr>
              <w:t xml:space="preserve">4.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2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6"/>
                <w:szCs w:val="26"/>
              </w:rPr>
              <w:t xml:space="preserve">Задачи подпрограммы 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18" w:type="dxa"/>
            <w:vAlign w:val="center"/>
            <w:textDirection w:val="lrTb"/>
            <w:noWrap w:val="false"/>
          </w:tcPr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</w:rPr>
              <w:t xml:space="preserve">Создание условий для организации транспортного обслуживания населения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7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6"/>
                <w:szCs w:val="26"/>
              </w:rPr>
              <w:t xml:space="preserve">5.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2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6"/>
                <w:szCs w:val="26"/>
              </w:rPr>
              <w:t xml:space="preserve">Сроки реализации подпрограммы 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18" w:type="dxa"/>
            <w:vAlign w:val="center"/>
            <w:textDirection w:val="lrTb"/>
            <w:noWrap w:val="false"/>
          </w:tcPr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</w:rPr>
              <w:t xml:space="preserve">2015-2026 годы</w:t>
            </w:r>
            <w:r/>
          </w:p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</w:rPr>
              <w:t xml:space="preserve">подпрограмма 2 реализуется в 2 этапа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7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6"/>
                <w:szCs w:val="26"/>
              </w:rPr>
              <w:t xml:space="preserve">6.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2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6"/>
                <w:szCs w:val="26"/>
              </w:rPr>
              <w:t xml:space="preserve">Общий объем бюджетных ассигнований подпрограммы 2, в том числе за счет средств местного бюджета (с расшифровкой плановых объемов бюджетных ассигнований по годам ее реализации), а также прогнозный объем средств, привлекаемых из других источников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18" w:type="dxa"/>
            <w:vAlign w:val="center"/>
            <w:textDirection w:val="lrTb"/>
            <w:noWrap w:val="false"/>
          </w:tcPr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</w:rPr>
              <w:t xml:space="preserve">Объем финансирования подпрограммы в        2015-2026 годах за счет всех источников финансирования  составит всего  119 641,8 тыс. рублей.</w:t>
            </w:r>
            <w:r/>
          </w:p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</w:rPr>
              <w:t xml:space="preserve">Объем финансирования подпрограммы за счет средств районного бюджета составит  118 807,1 тыс. рублей, в том числе по годам реализации:</w:t>
            </w:r>
            <w:r/>
          </w:p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</w:rPr>
              <w:t xml:space="preserve">2015 год -  6 547 тыс. рублей;</w:t>
            </w:r>
            <w:r/>
          </w:p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</w:rPr>
              <w:t xml:space="preserve">2016 год -  6 164 тыс. рублей;</w:t>
            </w:r>
            <w:r/>
          </w:p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</w:rPr>
              <w:t xml:space="preserve">2017 год -  6 865 тыс. рублей;</w:t>
            </w:r>
            <w:r/>
          </w:p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</w:rPr>
              <w:t xml:space="preserve">2018 год -  8 641 тыс. рублей;</w:t>
            </w:r>
            <w:r/>
          </w:p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</w:rPr>
              <w:t xml:space="preserve">2019 год -  12 088 тыс. рублей;</w:t>
            </w:r>
            <w:r/>
          </w:p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</w:rPr>
              <w:t xml:space="preserve">2020 год -  11 702 тыс. рублей;</w:t>
            </w:r>
            <w:r/>
          </w:p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</w:rPr>
              <w:t xml:space="preserve">2021 год – 12 068 тыс. рублей;</w:t>
            </w:r>
            <w:r/>
          </w:p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</w:rPr>
              <w:t xml:space="preserve">2022 год – 12 094 тыс. рублей;</w:t>
            </w:r>
            <w:r/>
          </w:p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</w:rPr>
              <w:t xml:space="preserve">2023 год – 13 591,1 тыс. рублей;</w:t>
            </w:r>
            <w:r/>
          </w:p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</w:rPr>
              <w:t xml:space="preserve">2024 год – 15 226 тыс. рублей;</w:t>
            </w:r>
            <w:r/>
          </w:p>
          <w:p>
            <w:pPr>
              <w:pStyle w:val="1190"/>
              <w:jc w:val="both"/>
              <w:widowControl w:val="off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</w:rPr>
              <w:t xml:space="preserve">2025 год – 13 821 тыс. рублей;</w:t>
            </w:r>
            <w:r/>
          </w:p>
          <w:p>
            <w:pPr>
              <w:pStyle w:val="1190"/>
              <w:jc w:val="both"/>
              <w:widowControl w:val="off"/>
              <w:rPr>
                <w:highlight w:val="none"/>
              </w:rPr>
            </w:pPr>
            <w:r>
              <w:rPr>
                <w:sz w:val="26"/>
                <w:szCs w:val="26"/>
              </w:rPr>
              <w:t xml:space="preserve">2026 год – 0 тыс. рублей;</w:t>
            </w:r>
            <w:r>
              <w:rPr>
                <w:sz w:val="26"/>
                <w:szCs w:val="26"/>
                <w:highlight w:val="none"/>
              </w:rPr>
            </w:r>
            <w:r/>
          </w:p>
          <w:p>
            <w:pPr>
              <w:pStyle w:val="1190"/>
              <w:jc w:val="both"/>
              <w:widowControl w:val="off"/>
              <w:rPr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 xml:space="preserve">Объем финансирования </w:t>
            </w:r>
            <w:r>
              <w:rPr>
                <w:sz w:val="26"/>
                <w:szCs w:val="26"/>
              </w:rPr>
              <w:t xml:space="preserve">подпрограммы 1 </w:t>
            </w:r>
            <w:r>
              <w:rPr>
                <w:color w:val="000000"/>
                <w:sz w:val="26"/>
                <w:szCs w:val="26"/>
                <w:lang w:eastAsia="en-US"/>
              </w:rPr>
              <w:t xml:space="preserve">в 2015 - 2026 годах за счет средств областного бюджета </w:t>
            </w:r>
            <w:r>
              <w:rPr>
                <w:sz w:val="26"/>
                <w:szCs w:val="26"/>
                <w:lang w:eastAsia="en-US"/>
              </w:rPr>
              <w:t xml:space="preserve">составит  - 834,7 тыс.  рублей, в том числе по годам реализации:</w:t>
            </w:r>
            <w:r/>
          </w:p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</w:rPr>
              <w:t xml:space="preserve">2015 год -  0 тыс. рублей;</w:t>
            </w:r>
            <w:r/>
          </w:p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</w:rPr>
              <w:t xml:space="preserve">2016 год - 0 тыс. рублей;</w:t>
            </w:r>
            <w:r/>
          </w:p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</w:rPr>
              <w:t xml:space="preserve">2017 год - 0 тыс. рублей;</w:t>
            </w:r>
            <w:r/>
          </w:p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</w:rPr>
              <w:t xml:space="preserve">2018 год -  0 тыс. рублей;</w:t>
            </w:r>
            <w:r/>
          </w:p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</w:rPr>
              <w:t xml:space="preserve">2019 год -  0 тыс. рублей;</w:t>
            </w:r>
            <w:r/>
          </w:p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</w:rPr>
              <w:t xml:space="preserve">2020 год -  53,5 тыс. рублей;</w:t>
            </w:r>
            <w:r/>
          </w:p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</w:rPr>
              <w:t xml:space="preserve">2021 год – 99 тыс. рублей;</w:t>
            </w:r>
            <w:r/>
          </w:p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</w:rPr>
              <w:t xml:space="preserve">2022 год – 119,3 тыс. рублей;</w:t>
            </w:r>
            <w:r/>
          </w:p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</w:rPr>
              <w:t xml:space="preserve">2023 год – 148,6 тыс. рублей;</w:t>
            </w:r>
            <w:r/>
          </w:p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</w:rPr>
              <w:t xml:space="preserve">2024 год – 138,1 тыс. рублей;</w:t>
            </w:r>
            <w:r/>
          </w:p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</w:rPr>
              <w:t xml:space="preserve">2025 год – 138,1 тыс. рублей;</w:t>
            </w:r>
            <w:r>
              <w:rPr>
                <w:sz w:val="26"/>
                <w:szCs w:val="26"/>
                <w:highlight w:val="none"/>
              </w:rPr>
            </w:r>
            <w:r/>
          </w:p>
          <w:p>
            <w:pPr>
              <w:pStyle w:val="1190"/>
              <w:jc w:val="both"/>
              <w:widowControl w:val="off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</w:rPr>
              <w:t xml:space="preserve">2026 год – 138,1 тыс. рублей;</w:t>
            </w:r>
            <w:r>
              <w:rPr>
                <w:highlight w:val="none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7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6"/>
                <w:szCs w:val="26"/>
              </w:rPr>
              <w:t xml:space="preserve">7.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2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6"/>
                <w:szCs w:val="26"/>
              </w:rPr>
              <w:t xml:space="preserve">Показатели конечного результата реализации подпрограммы 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18" w:type="dxa"/>
            <w:vAlign w:val="center"/>
            <w:textDirection w:val="lrTb"/>
            <w:noWrap w:val="false"/>
          </w:tcPr>
          <w:p>
            <w:pPr>
              <w:pStyle w:val="1190"/>
              <w:jc w:val="both"/>
              <w:widowControl w:val="off"/>
            </w:pPr>
            <w:r>
              <w:rPr>
                <w:sz w:val="26"/>
                <w:szCs w:val="26"/>
              </w:rPr>
              <w:t xml:space="preserve">К 2027 году планируется рост пассажирооборота транспортом  общего пользования до 11,8 млн. пасс.-км</w:t>
            </w:r>
            <w:r/>
          </w:p>
        </w:tc>
      </w:tr>
    </w:tbl>
    <w:p>
      <w:pPr>
        <w:pStyle w:val="1190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pStyle w:val="1190"/>
        <w:jc w:val="center"/>
      </w:pPr>
      <w:r>
        <w:rPr>
          <w:b/>
          <w:sz w:val="26"/>
          <w:szCs w:val="26"/>
        </w:rPr>
        <w:t xml:space="preserve">1. Характеристика сферы реализации подпрограммы 2, описание</w:t>
      </w:r>
      <w:r/>
    </w:p>
    <w:p>
      <w:pPr>
        <w:pStyle w:val="1190"/>
        <w:jc w:val="center"/>
      </w:pPr>
      <w:r>
        <w:rPr>
          <w:b/>
          <w:sz w:val="26"/>
          <w:szCs w:val="26"/>
        </w:rPr>
        <w:t xml:space="preserve">основных проблем в указанной сфере и прогноз ее развития</w:t>
      </w:r>
      <w:r/>
    </w:p>
    <w:p>
      <w:pPr>
        <w:pStyle w:val="1190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Пассажирский автомобильный транспорт, являясь наиболее массовым и самым доступным видом транспорта, связывает населенные пункты Чернянского района  между собой, являясь для большинства из них единственным видом транспорта.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В  2017 году - 400 тыс. человек, в 2018 году - 460  тыс.человек, 2019 году - 465  тыс.человек, 2020 году - 468  тыс.человек  Пассажирооборот автобусных перевозок за период 2016-2023 годов повысился.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Данная ситуация объясняется возросшим уровнем </w:t>
      </w:r>
      <w:r>
        <w:rPr>
          <w:sz w:val="26"/>
          <w:szCs w:val="26"/>
        </w:rPr>
        <w:t xml:space="preserve">автомобилизации населения. Количество личного транспорта за 2016 - 2023 годы возросло на  30 процентов, а количество транспортных средств общественного транспорта осталось на прежнем уровне. При этом количество автобусных маршрутов  возросло незначительно.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В соответствии с законом Белгородской области от 14 января 2008 года № 183 «О наделении органов местного самоуправления полномочиями по организации транспортного обслуживания населения автомобильным транспортом в пригородном межмуниципаль</w:t>
      </w:r>
      <w:r>
        <w:rPr>
          <w:sz w:val="26"/>
          <w:szCs w:val="26"/>
        </w:rPr>
        <w:t xml:space="preserve">ном сообщении» организация транспортного обслуживания населения по маршрутам регулярных перевозок в пригородном и  межмуниципальном сообщении осуществляется администрацией Чернянского района, что позволяет рациональнее организовывать маршрутную сеть с учет</w:t>
      </w:r>
      <w:r>
        <w:rPr>
          <w:sz w:val="26"/>
          <w:szCs w:val="26"/>
        </w:rPr>
        <w:t xml:space="preserve">ом муниципальных маршрутов, а также более оперативно и эффективно решать вопросы контроля за осуществлением перевозок по пригородным внутримуниципальным и межмуниципальным маршрутам, быстрее реагировать на потребности населения в транспортном обслуживании.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В пригородном внутримуниципальном сообщении автобусные перевозки организованы  в 2024 году по  9  маршрутам и 6 маршрутов по п. Чернянка.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Обслуживание населения автомобильным транспо</w:t>
      </w:r>
      <w:r>
        <w:rPr>
          <w:sz w:val="26"/>
          <w:szCs w:val="26"/>
        </w:rPr>
        <w:t xml:space="preserve">рт</w:t>
      </w:r>
      <w:r>
        <w:rPr>
          <w:sz w:val="26"/>
          <w:szCs w:val="26"/>
        </w:rPr>
        <w:t xml:space="preserve">ом будет осуществляться на основании муниципального контракта, заключенного между администрацией Чернянского района и ООО «Трансэкспресс» по регулируемому тарифу с возмещением выпадающих доходов перевозчика из средств районного бюджета и 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Настоящая подпрограмма призвана создать необходимые условия для организации транспортного обслуживания населения, на территории Чернянского района.</w:t>
      </w:r>
      <w:r/>
    </w:p>
    <w:p>
      <w:pPr>
        <w:pStyle w:val="1190"/>
        <w:jc w:val="center"/>
      </w:pPr>
      <w:r>
        <w:rPr>
          <w:b/>
          <w:sz w:val="26"/>
          <w:szCs w:val="26"/>
        </w:rPr>
        <w:t xml:space="preserve">2. Цель (цели), задачи, сроки и этапы реализации подпрограммы 2</w:t>
      </w:r>
      <w:r/>
    </w:p>
    <w:p>
      <w:pPr>
        <w:pStyle w:val="1190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Приоритеты в сфере реализации муниципальной программы и подпрограммы 2 определены в Стратегии социально-экономического развития Чернянского района на период до 2025 года.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Исходя из стратегических приоритетов, целью подпрограммы 2 является создание условий для устойчивого функционирования транспортной системы в части пассажирских перевозок в Чернянском районе.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Для достижения указанной цели необходимо решить задачу создания условий для организации транспортного обслуживания населения.</w:t>
      </w:r>
      <w:r/>
    </w:p>
    <w:p>
      <w:pPr>
        <w:pStyle w:val="1190"/>
        <w:ind w:left="0" w:right="0" w:firstLine="540"/>
        <w:jc w:val="both"/>
      </w:pPr>
      <w:r>
        <w:rPr>
          <w:b/>
          <w:sz w:val="26"/>
          <w:szCs w:val="26"/>
        </w:rPr>
        <w:t xml:space="preserve">Сроки реализации подпрограммы 2: 2015-2026 годы, реализуется в 2 этапа.</w:t>
      </w:r>
      <w:r/>
    </w:p>
    <w:p>
      <w:pPr>
        <w:pStyle w:val="1190"/>
        <w:ind w:left="0" w:right="0" w:firstLine="540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pStyle w:val="1190"/>
        <w:jc w:val="center"/>
      </w:pPr>
      <w:r>
        <w:rPr>
          <w:b/>
          <w:sz w:val="26"/>
          <w:szCs w:val="26"/>
        </w:rPr>
        <w:t xml:space="preserve">3. Обоснование выделения системы основных мероприятий и краткое описание основных мероприятий подпрограммы 2</w:t>
      </w:r>
      <w:r/>
    </w:p>
    <w:p>
      <w:pPr>
        <w:pStyle w:val="1190"/>
        <w:ind w:left="0" w:right="0" w:firstLine="540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Система мероприятий подпрограммы 2 представляет собой комплекс мероприятий, направленных на создание условий по организации транспортного обслуживания населения автомобильным транспортом.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В рамках решения задачи «Создание условий для организации транспортного обслуживания населения» будут реализованы следующие основные мероприятия: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-  средства на проезд студентов, аспирантов и учащихся учебных заведений области;</w:t>
      </w:r>
      <w:r/>
    </w:p>
    <w:p>
      <w:pPr>
        <w:pStyle w:val="1190"/>
        <w:ind w:left="0" w:right="0" w:firstLine="539"/>
        <w:jc w:val="both"/>
      </w:pPr>
      <w:r>
        <w:rPr>
          <w:sz w:val="26"/>
          <w:szCs w:val="26"/>
        </w:rPr>
        <w:t xml:space="preserve">- с</w:t>
      </w:r>
      <w:r>
        <w:rPr>
          <w:color w:val="000000"/>
          <w:sz w:val="26"/>
          <w:szCs w:val="26"/>
        </w:rPr>
        <w:t xml:space="preserve">редства на покрытие убытков  по организации транспортного обслуживания на внутримуниципальном пригородном сообщении</w:t>
      </w:r>
      <w:r>
        <w:rPr>
          <w:sz w:val="26"/>
          <w:szCs w:val="26"/>
        </w:rPr>
        <w:t xml:space="preserve">.</w:t>
      </w:r>
      <w:r/>
    </w:p>
    <w:p>
      <w:pPr>
        <w:pStyle w:val="1190"/>
        <w:ind w:left="0" w:right="0" w:firstLine="539"/>
        <w:jc w:val="both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1190"/>
        <w:ind w:left="0" w:right="0" w:firstLine="539"/>
        <w:jc w:val="center"/>
      </w:pPr>
      <w:r>
        <w:rPr>
          <w:b/>
          <w:sz w:val="26"/>
          <w:szCs w:val="26"/>
        </w:rPr>
        <w:t xml:space="preserve">4. Ресурсное обеспечение подпрограммы 2 </w:t>
      </w:r>
      <w:r/>
    </w:p>
    <w:p>
      <w:pPr>
        <w:pStyle w:val="1190"/>
        <w:ind w:left="0" w:right="0" w:firstLine="539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pStyle w:val="1190"/>
        <w:ind w:left="0" w:right="0" w:firstLine="540"/>
        <w:jc w:val="both"/>
        <w:rPr>
          <w:sz w:val="26"/>
          <w:szCs w:val="26"/>
          <w:lang w:eastAsia="en-US"/>
        </w:rPr>
      </w:pPr>
      <w:r>
        <w:rPr>
          <w:sz w:val="26"/>
          <w:szCs w:val="26"/>
        </w:rPr>
        <w:t xml:space="preserve">Общий объем финансовых средств, необходимых для реализации подпрограммы 2, составляет  119 641,8 тыс. рублей, </w:t>
      </w:r>
      <w:r>
        <w:rPr>
          <w:color w:val="000000"/>
          <w:sz w:val="26"/>
          <w:szCs w:val="26"/>
          <w:lang w:eastAsia="en-US"/>
        </w:rPr>
        <w:t xml:space="preserve">объем финансирования </w:t>
      </w:r>
      <w:r>
        <w:rPr>
          <w:sz w:val="26"/>
          <w:szCs w:val="26"/>
        </w:rPr>
        <w:t xml:space="preserve">подпрограммы 1 </w:t>
      </w:r>
      <w:r>
        <w:rPr>
          <w:color w:val="000000"/>
          <w:sz w:val="26"/>
          <w:szCs w:val="26"/>
          <w:lang w:eastAsia="en-US"/>
        </w:rPr>
        <w:t xml:space="preserve">в 2015 - 2026 годах за счет средств областного бюджета </w:t>
      </w:r>
      <w:r>
        <w:rPr>
          <w:sz w:val="26"/>
          <w:szCs w:val="26"/>
          <w:lang w:eastAsia="en-US"/>
        </w:rPr>
        <w:t xml:space="preserve">составит  - 834,7 тыс.  рублей,в том числе:</w:t>
      </w:r>
      <w:r/>
    </w:p>
    <w:p>
      <w:pPr>
        <w:pStyle w:val="1190"/>
        <w:jc w:val="both"/>
        <w:widowControl w:val="off"/>
      </w:pPr>
      <w:r>
        <w:rPr>
          <w:sz w:val="26"/>
          <w:szCs w:val="26"/>
        </w:rPr>
        <w:t xml:space="preserve">2015 год -  0 тыс. рублей;</w:t>
      </w:r>
      <w:r/>
    </w:p>
    <w:p>
      <w:pPr>
        <w:pStyle w:val="1190"/>
        <w:jc w:val="both"/>
        <w:widowControl w:val="off"/>
      </w:pPr>
      <w:r>
        <w:rPr>
          <w:sz w:val="26"/>
          <w:szCs w:val="26"/>
        </w:rPr>
        <w:t xml:space="preserve">2016 год - 0 тыс. рублей;</w:t>
      </w:r>
      <w:r/>
    </w:p>
    <w:p>
      <w:pPr>
        <w:pStyle w:val="1190"/>
        <w:jc w:val="both"/>
        <w:widowControl w:val="off"/>
      </w:pPr>
      <w:r>
        <w:rPr>
          <w:sz w:val="26"/>
          <w:szCs w:val="26"/>
        </w:rPr>
        <w:t xml:space="preserve">2017 год - 0 тыс. рублей;</w:t>
      </w:r>
      <w:r/>
    </w:p>
    <w:p>
      <w:pPr>
        <w:pStyle w:val="1190"/>
        <w:jc w:val="both"/>
        <w:widowControl w:val="off"/>
      </w:pPr>
      <w:r>
        <w:rPr>
          <w:sz w:val="26"/>
          <w:szCs w:val="26"/>
        </w:rPr>
        <w:t xml:space="preserve">2018 год -  0 тыс. рублей;</w:t>
      </w:r>
      <w:r/>
    </w:p>
    <w:p>
      <w:pPr>
        <w:pStyle w:val="1190"/>
        <w:jc w:val="both"/>
        <w:widowControl w:val="off"/>
      </w:pPr>
      <w:r>
        <w:rPr>
          <w:sz w:val="26"/>
          <w:szCs w:val="26"/>
        </w:rPr>
        <w:t xml:space="preserve">2019 год -  0 тыс. рублей;</w:t>
      </w:r>
      <w:r/>
    </w:p>
    <w:p>
      <w:pPr>
        <w:pStyle w:val="1190"/>
        <w:jc w:val="both"/>
        <w:widowControl w:val="off"/>
      </w:pPr>
      <w:r>
        <w:rPr>
          <w:sz w:val="26"/>
          <w:szCs w:val="26"/>
        </w:rPr>
        <w:t xml:space="preserve">2020 год -  53,5 тыс. рублей;</w:t>
      </w:r>
      <w:r/>
    </w:p>
    <w:p>
      <w:pPr>
        <w:pStyle w:val="1190"/>
        <w:jc w:val="both"/>
        <w:widowControl w:val="off"/>
      </w:pPr>
      <w:r>
        <w:rPr>
          <w:sz w:val="26"/>
          <w:szCs w:val="26"/>
        </w:rPr>
        <w:t xml:space="preserve">2021 год – 99 тыс. рублей;</w:t>
      </w:r>
      <w:r/>
    </w:p>
    <w:p>
      <w:pPr>
        <w:pStyle w:val="1190"/>
        <w:jc w:val="both"/>
        <w:widowControl w:val="off"/>
      </w:pPr>
      <w:r>
        <w:rPr>
          <w:sz w:val="26"/>
          <w:szCs w:val="26"/>
        </w:rPr>
        <w:t xml:space="preserve">2022 год – 119,3 тыс. рублей;</w:t>
      </w:r>
      <w:r/>
    </w:p>
    <w:p>
      <w:pPr>
        <w:pStyle w:val="1190"/>
        <w:jc w:val="both"/>
        <w:widowControl w:val="off"/>
      </w:pPr>
      <w:r>
        <w:rPr>
          <w:sz w:val="26"/>
          <w:szCs w:val="26"/>
        </w:rPr>
        <w:t xml:space="preserve">2023 год – 148,6 тыс. рублей;</w:t>
      </w:r>
      <w:r/>
    </w:p>
    <w:p>
      <w:pPr>
        <w:pStyle w:val="1190"/>
        <w:jc w:val="both"/>
        <w:widowControl w:val="off"/>
      </w:pPr>
      <w:r>
        <w:rPr>
          <w:sz w:val="26"/>
          <w:szCs w:val="26"/>
        </w:rPr>
        <w:t xml:space="preserve">2024 год – 138,1 тыс. рублей;</w:t>
      </w:r>
      <w:r/>
    </w:p>
    <w:p>
      <w:pPr>
        <w:pStyle w:val="1190"/>
        <w:jc w:val="both"/>
        <w:widowControl w:val="off"/>
      </w:pPr>
      <w:r>
        <w:rPr>
          <w:sz w:val="26"/>
          <w:szCs w:val="26"/>
        </w:rPr>
        <w:t xml:space="preserve">2025 год – 138,1 тыс. рублей;</w:t>
      </w:r>
      <w:r>
        <w:rPr>
          <w:sz w:val="26"/>
          <w:szCs w:val="26"/>
          <w:highlight w:val="none"/>
        </w:rPr>
      </w:r>
      <w:r/>
    </w:p>
    <w:p>
      <w:pPr>
        <w:pStyle w:val="1190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2026 год – 138,1 тыс. рублей;</w:t>
      </w:r>
      <w:r>
        <w:rPr>
          <w:sz w:val="26"/>
          <w:szCs w:val="26"/>
          <w:highlight w:val="none"/>
        </w:rPr>
      </w:r>
      <w:r/>
    </w:p>
    <w:p>
      <w:pPr>
        <w:jc w:val="both"/>
        <w:widowControl w:val="off"/>
        <w:rPr>
          <w:sz w:val="26"/>
          <w:szCs w:val="26"/>
          <w:highlight w:val="none"/>
        </w:rPr>
      </w:pPr>
      <w:r>
        <w:rPr>
          <w:sz w:val="26"/>
          <w:szCs w:val="26"/>
        </w:rPr>
      </w:r>
      <w:r>
        <w:rPr>
          <w:sz w:val="26"/>
          <w:szCs w:val="26"/>
        </w:rPr>
        <w:t xml:space="preserve">средства районного бюджета 118 807,1 тыс. рублей, в том числе по годам:</w:t>
      </w:r>
      <w:r>
        <w:rPr>
          <w:sz w:val="26"/>
          <w:szCs w:val="26"/>
          <w:highlight w:val="none"/>
        </w:rPr>
      </w:r>
      <w:r/>
    </w:p>
    <w:p>
      <w:pPr>
        <w:pStyle w:val="1190"/>
        <w:jc w:val="both"/>
        <w:widowControl w:val="off"/>
      </w:pPr>
      <w:r>
        <w:rPr>
          <w:sz w:val="26"/>
          <w:szCs w:val="26"/>
        </w:rPr>
        <w:t xml:space="preserve">2015 год -  6 547 тыс. рублей;</w:t>
      </w:r>
      <w:r/>
    </w:p>
    <w:p>
      <w:pPr>
        <w:pStyle w:val="1190"/>
        <w:jc w:val="both"/>
        <w:widowControl w:val="off"/>
      </w:pPr>
      <w:r>
        <w:rPr>
          <w:sz w:val="26"/>
          <w:szCs w:val="26"/>
        </w:rPr>
        <w:t xml:space="preserve">2016 год -  6 164 тыс. рублей;</w:t>
      </w:r>
      <w:r/>
    </w:p>
    <w:p>
      <w:pPr>
        <w:pStyle w:val="1190"/>
        <w:jc w:val="both"/>
        <w:widowControl w:val="off"/>
      </w:pPr>
      <w:r>
        <w:rPr>
          <w:sz w:val="26"/>
          <w:szCs w:val="26"/>
        </w:rPr>
        <w:t xml:space="preserve">2017 год -  6 865 тыс. рублей;</w:t>
      </w:r>
      <w:r/>
    </w:p>
    <w:p>
      <w:pPr>
        <w:pStyle w:val="1190"/>
        <w:jc w:val="both"/>
        <w:widowControl w:val="off"/>
      </w:pPr>
      <w:r>
        <w:rPr>
          <w:sz w:val="26"/>
          <w:szCs w:val="26"/>
        </w:rPr>
        <w:t xml:space="preserve">2018 год -  8 641 тыс. рублей;</w:t>
      </w:r>
      <w:r/>
    </w:p>
    <w:p>
      <w:pPr>
        <w:pStyle w:val="1190"/>
        <w:jc w:val="both"/>
        <w:widowControl w:val="off"/>
      </w:pPr>
      <w:r>
        <w:rPr>
          <w:sz w:val="26"/>
          <w:szCs w:val="26"/>
        </w:rPr>
        <w:t xml:space="preserve">2019 год -  12 088 тыс. рублей;</w:t>
      </w:r>
      <w:r/>
    </w:p>
    <w:p>
      <w:pPr>
        <w:pStyle w:val="1190"/>
        <w:jc w:val="both"/>
        <w:widowControl w:val="off"/>
      </w:pPr>
      <w:r>
        <w:rPr>
          <w:sz w:val="26"/>
          <w:szCs w:val="26"/>
        </w:rPr>
        <w:t xml:space="preserve">2020 год -  11 702 тыс. рублей;</w:t>
      </w:r>
      <w:r/>
    </w:p>
    <w:p>
      <w:pPr>
        <w:pStyle w:val="1190"/>
        <w:jc w:val="both"/>
        <w:widowControl w:val="off"/>
      </w:pPr>
      <w:r>
        <w:rPr>
          <w:sz w:val="26"/>
          <w:szCs w:val="26"/>
        </w:rPr>
        <w:t xml:space="preserve">2021 год – 12 068 тыс. рублей;</w:t>
      </w:r>
      <w:r/>
    </w:p>
    <w:p>
      <w:pPr>
        <w:pStyle w:val="1190"/>
        <w:jc w:val="both"/>
        <w:widowControl w:val="off"/>
      </w:pPr>
      <w:r>
        <w:rPr>
          <w:sz w:val="26"/>
          <w:szCs w:val="26"/>
        </w:rPr>
        <w:t xml:space="preserve">2022 год – 12 094 тыс. рублей;</w:t>
      </w:r>
      <w:r/>
    </w:p>
    <w:p>
      <w:pPr>
        <w:pStyle w:val="1190"/>
        <w:jc w:val="both"/>
        <w:widowControl w:val="off"/>
      </w:pPr>
      <w:r>
        <w:rPr>
          <w:sz w:val="26"/>
          <w:szCs w:val="26"/>
        </w:rPr>
        <w:t xml:space="preserve">2023 год – 13 591,1 тыс. рублей;</w:t>
      </w:r>
      <w:r/>
    </w:p>
    <w:p>
      <w:pPr>
        <w:pStyle w:val="1190"/>
        <w:jc w:val="both"/>
        <w:widowControl w:val="off"/>
      </w:pPr>
      <w:r>
        <w:rPr>
          <w:sz w:val="26"/>
          <w:szCs w:val="26"/>
        </w:rPr>
        <w:t xml:space="preserve">2024 год – 15 226 тыс. рублей;</w:t>
      </w:r>
      <w:r/>
    </w:p>
    <w:p>
      <w:pPr>
        <w:pStyle w:val="1190"/>
        <w:jc w:val="both"/>
        <w:widowControl w:val="off"/>
      </w:pPr>
      <w:r>
        <w:rPr>
          <w:sz w:val="26"/>
          <w:szCs w:val="26"/>
        </w:rPr>
        <w:t xml:space="preserve">2025 год – 13 821 тыс. рублей;</w:t>
      </w:r>
      <w:r>
        <w:rPr>
          <w:sz w:val="26"/>
          <w:szCs w:val="26"/>
          <w:highlight w:val="none"/>
        </w:rPr>
      </w:r>
      <w:r/>
    </w:p>
    <w:p>
      <w:pPr>
        <w:pStyle w:val="1190"/>
        <w:jc w:val="both"/>
        <w:widowControl w:val="off"/>
      </w:pPr>
      <w:r>
        <w:rPr>
          <w:sz w:val="26"/>
          <w:szCs w:val="26"/>
        </w:rPr>
        <w:t xml:space="preserve">2026 год – 0 тыс. рублей</w:t>
      </w:r>
      <w:r>
        <w:t xml:space="preserve">.</w:t>
      </w:r>
      <w:r/>
    </w:p>
    <w:p>
      <w:pPr>
        <w:pStyle w:val="1190"/>
        <w:ind w:left="0" w:right="0" w:firstLine="567"/>
        <w:jc w:val="both"/>
        <w:tabs>
          <w:tab w:val="left" w:pos="540" w:leader="none"/>
        </w:tabs>
      </w:pPr>
      <w:r>
        <w:rPr>
          <w:sz w:val="26"/>
          <w:szCs w:val="26"/>
        </w:rPr>
        <w:t xml:space="preserve">Ресурсное обеспечение и прогнозная (справочная) оценка расходов на реализацию мероприятий подпрогра</w:t>
      </w:r>
      <w:r>
        <w:rPr>
          <w:sz w:val="26"/>
          <w:szCs w:val="26"/>
        </w:rPr>
        <w:t xml:space="preserve">ммы 2 из различных источников финансирования и ресурсное обеспечение реализации подпрограммы 2 муниципальной программы за счет средств  районного и областного бюджетов по годам представлены соответственно в приложениях № 3 и № 4 к  муниципальной программе.</w:t>
      </w:r>
      <w:r/>
    </w:p>
    <w:p>
      <w:pPr>
        <w:pStyle w:val="1190"/>
        <w:ind w:left="0" w:right="0" w:hanging="169"/>
        <w:jc w:val="both"/>
        <w:tabs>
          <w:tab w:val="left" w:pos="540" w:leader="none"/>
        </w:tabs>
      </w:pPr>
      <w:r>
        <w:rPr>
          <w:sz w:val="26"/>
          <w:szCs w:val="26"/>
        </w:rPr>
        <w:tab/>
        <w:tab/>
        <w:t xml:space="preserve">Объем финансового обеспечения подпрограммы 2 подлежит ежегодному уточнению в рамках подготовки проекта бюджета муниципального района «Чернянский район» на очередной финансовый год и плановый период.</w:t>
      </w:r>
      <w:r/>
    </w:p>
    <w:p>
      <w:pPr>
        <w:pStyle w:val="1190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pStyle w:val="1190"/>
        <w:ind w:left="0" w:right="0" w:firstLine="540"/>
        <w:jc w:val="center"/>
      </w:pPr>
      <w:r>
        <w:rPr>
          <w:b/>
          <w:sz w:val="26"/>
          <w:szCs w:val="26"/>
        </w:rPr>
        <w:t xml:space="preserve">5. Прогноз показателей конечного результата</w:t>
      </w:r>
      <w:r/>
    </w:p>
    <w:p>
      <w:pPr>
        <w:pStyle w:val="1190"/>
        <w:ind w:left="0" w:right="0" w:firstLine="540"/>
        <w:jc w:val="center"/>
      </w:pP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реализации подпрограммы 2.</w:t>
      </w:r>
      <w:r/>
    </w:p>
    <w:p>
      <w:pPr>
        <w:pStyle w:val="1190"/>
        <w:ind w:left="0" w:right="0" w:firstLine="5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В результате реализации основных мероприятий подпрогр</w:t>
      </w:r>
      <w:r>
        <w:rPr>
          <w:sz w:val="26"/>
          <w:szCs w:val="26"/>
        </w:rPr>
        <w:t xml:space="preserve">аммы 2 предполагается достижение роста пассажирооборота транспортом  общего пользования до 11,8 млн. пасс.-км, что обеспечит устойчивое функционирование транспортной системы, качественное осуществление пассажирских перевозок и перемещение товаров (грузов).</w:t>
      </w:r>
      <w:r/>
    </w:p>
    <w:p>
      <w:pPr>
        <w:pStyle w:val="1190"/>
        <w:ind w:left="0" w:right="0" w:firstLine="709"/>
        <w:jc w:val="both"/>
        <w:widowControl w:val="off"/>
      </w:pPr>
      <w:r>
        <w:rPr>
          <w:sz w:val="26"/>
          <w:szCs w:val="26"/>
        </w:rPr>
        <w:t xml:space="preserve">Сведения о значении показателей конечного и непосред</w:t>
      </w:r>
      <w:r>
        <w:rPr>
          <w:sz w:val="26"/>
          <w:szCs w:val="26"/>
        </w:rPr>
        <w:t xml:space="preserve">ственного результатов представлены в приложении № 1 «Система основных мероприятий и показателей муниципальной программы «Совершенствование и развитие транспортной системы и дорожной сети Чернянского района Белгородской области»» к  муниципальной программе.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Бюджетная заявка на ассигнования из бюджета Чернянского района на 2024 год и плановый период 2025-2026 годов  представлена в приложении № 5 к муниципальной программе.</w:t>
      </w:r>
      <w:r/>
    </w:p>
    <w:p>
      <w:pPr>
        <w:pStyle w:val="1190"/>
        <w:ind w:left="0" w:right="0" w:firstLine="540"/>
        <w:jc w:val="both"/>
      </w:pPr>
      <w:r>
        <w:rPr>
          <w:sz w:val="26"/>
          <w:szCs w:val="26"/>
        </w:rPr>
        <w:t xml:space="preserve">Сведения о методике расчета показателей конечного результата представлены в приложении № 6 к муниципальной программе.</w:t>
      </w:r>
      <w:r/>
    </w:p>
    <w:p>
      <w:pPr>
        <w:pStyle w:val="1190"/>
        <w:ind w:left="0" w:right="0" w:firstLine="0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1190"/>
        <w:ind w:left="0" w:right="0" w:firstLine="540"/>
        <w:jc w:val="both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1190"/>
        <w:ind w:left="0" w:right="0" w:firstLine="540"/>
        <w:jc w:val="both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1190"/>
        <w:ind w:left="0" w:right="0" w:firstLine="540"/>
        <w:jc w:val="both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1190"/>
        <w:ind w:left="0" w:right="0" w:firstLine="540"/>
        <w:jc w:val="both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1190"/>
        <w:ind w:left="0" w:right="0" w:firstLine="540"/>
        <w:jc w:val="both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1190"/>
        <w:sectPr>
          <w:headerReference w:type="default" r:id="rId9"/>
          <w:headerReference w:type="first" r:id="rId10"/>
          <w:footnotePr>
            <w:numFmt w:val="decimal"/>
            <w:numRestart w:val="continuous"/>
          </w:footnotePr>
          <w:endnotePr>
            <w:numFmt w:val="lowerRoman"/>
          </w:endnotePr>
          <w:type w:val="nextPage"/>
          <w:pgSz w:w="11906" w:h="16838" w:orient="portrait"/>
          <w:pgMar w:top="566" w:right="566" w:bottom="360" w:left="1701" w:header="510" w:footer="709" w:gutter="0"/>
          <w:cols w:num="1" w:sep="0" w:space="1701" w:equalWidth="1"/>
          <w:docGrid w:linePitch="360"/>
          <w:titlePg/>
        </w:sectPr>
      </w:pPr>
      <w:r/>
      <w:r/>
    </w:p>
    <w:p>
      <w:pPr>
        <w:pStyle w:val="1190"/>
        <w:ind w:left="0" w:right="0" w:firstLine="540"/>
        <w:jc w:val="both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1190"/>
        <w:numPr>
          <w:ilvl w:val="0"/>
          <w:numId w:val="0"/>
        </w:numPr>
        <w:ind w:left="0" w:right="0" w:firstLine="0"/>
        <w:jc w:val="right"/>
        <w:widowControl w:val="off"/>
        <w:outlineLvl w:val="1"/>
      </w:pPr>
      <w:r>
        <w:rPr>
          <w:strike/>
          <w:sz w:val="28"/>
          <w:szCs w:val="28"/>
        </w:rPr>
        <w:t xml:space="preserve">  </w:t>
      </w:r>
      <w:r/>
    </w:p>
    <w:p>
      <w:pPr>
        <w:pStyle w:val="1190"/>
        <w:numPr>
          <w:ilvl w:val="0"/>
          <w:numId w:val="0"/>
        </w:numPr>
        <w:ind w:left="10800" w:right="0" w:firstLine="0"/>
        <w:jc w:val="right"/>
        <w:widowControl w:val="off"/>
        <w:outlineLvl w:val="1"/>
      </w:pPr>
      <w:r>
        <w:rPr>
          <w:b/>
          <w:sz w:val="28"/>
          <w:szCs w:val="28"/>
        </w:rPr>
        <w:t xml:space="preserve">Приложение № 1</w:t>
      </w:r>
      <w:r/>
    </w:p>
    <w:p>
      <w:pPr>
        <w:pStyle w:val="1190"/>
        <w:jc w:val="right"/>
        <w:widowControl w:val="off"/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>
        <w:rPr>
          <w:b/>
          <w:sz w:val="28"/>
          <w:szCs w:val="28"/>
        </w:rPr>
        <w:t xml:space="preserve">к муниципальной программе  </w:t>
      </w:r>
      <w:r/>
    </w:p>
    <w:p>
      <w:pPr>
        <w:pStyle w:val="1190"/>
        <w:jc w:val="right"/>
        <w:widowControl w:val="off"/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  <w:r>
        <w:rPr>
          <w:b/>
          <w:sz w:val="28"/>
          <w:szCs w:val="28"/>
        </w:rPr>
        <w:t xml:space="preserve">Чернянского района</w:t>
      </w:r>
      <w:r/>
    </w:p>
    <w:p>
      <w:pPr>
        <w:pStyle w:val="1190"/>
        <w:jc w:val="right"/>
        <w:widowControl w:val="off"/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>
        <w:rPr>
          <w:b/>
          <w:sz w:val="28"/>
          <w:szCs w:val="28"/>
        </w:rPr>
        <w:t xml:space="preserve">«Совершенствование и развитие  </w:t>
      </w:r>
      <w:r/>
    </w:p>
    <w:p>
      <w:pPr>
        <w:pStyle w:val="1190"/>
        <w:jc w:val="right"/>
        <w:widowControl w:val="off"/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</w:t>
      </w:r>
      <w:r>
        <w:rPr>
          <w:b/>
          <w:sz w:val="28"/>
          <w:szCs w:val="28"/>
        </w:rPr>
        <w:t xml:space="preserve">транспортной системы и дорожной сети  </w:t>
      </w:r>
      <w:r/>
    </w:p>
    <w:p>
      <w:pPr>
        <w:pStyle w:val="1190"/>
        <w:jc w:val="right"/>
        <w:widowControl w:val="off"/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</w:t>
      </w:r>
      <w:r>
        <w:rPr>
          <w:b/>
          <w:sz w:val="28"/>
          <w:szCs w:val="28"/>
        </w:rPr>
        <w:t xml:space="preserve">Чернянского района Белгородской области»</w:t>
      </w:r>
      <w:r/>
    </w:p>
    <w:p>
      <w:pPr>
        <w:pStyle w:val="1190"/>
        <w:jc w:val="right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1190"/>
        <w:numPr>
          <w:ilvl w:val="0"/>
          <w:numId w:val="0"/>
        </w:numPr>
        <w:ind w:left="0" w:right="0" w:firstLine="0"/>
        <w:jc w:val="right"/>
        <w:widowControl w:val="off"/>
        <w:rPr>
          <w:b/>
          <w:sz w:val="28"/>
          <w:szCs w:val="28"/>
        </w:rPr>
        <w:outlineLvl w:val="1"/>
      </w:pPr>
      <w:r>
        <w:rPr>
          <w:b/>
          <w:sz w:val="28"/>
          <w:szCs w:val="28"/>
        </w:rPr>
      </w:r>
      <w:r/>
    </w:p>
    <w:p>
      <w:pPr>
        <w:pStyle w:val="1190"/>
        <w:jc w:val="center"/>
        <w:widowControl w:val="off"/>
      </w:pPr>
      <w:r>
        <w:rPr>
          <w:b/>
          <w:sz w:val="28"/>
          <w:szCs w:val="28"/>
        </w:rPr>
        <w:t xml:space="preserve">Система основных мероприятий и показателей муниципальной программы </w:t>
      </w:r>
      <w:r/>
    </w:p>
    <w:p>
      <w:pPr>
        <w:pStyle w:val="1190"/>
        <w:jc w:val="center"/>
        <w:widowControl w:val="off"/>
      </w:pPr>
      <w:r>
        <w:rPr>
          <w:b/>
          <w:sz w:val="28"/>
          <w:szCs w:val="28"/>
        </w:rPr>
        <w:t xml:space="preserve">«Совершенствование и развитие транспортной системы и дорожной сети Чернянского района </w:t>
      </w:r>
      <w:r/>
    </w:p>
    <w:p>
      <w:pPr>
        <w:pStyle w:val="1190"/>
        <w:jc w:val="center"/>
        <w:widowControl w:val="off"/>
      </w:pPr>
      <w:r>
        <w:rPr>
          <w:b/>
          <w:sz w:val="28"/>
          <w:szCs w:val="28"/>
        </w:rPr>
        <w:t xml:space="preserve">Белгородской области» на </w:t>
      </w:r>
      <w:r>
        <w:rPr>
          <w:b/>
          <w:sz w:val="28"/>
          <w:szCs w:val="28"/>
          <w:lang w:val="en-US"/>
        </w:rPr>
        <w:t xml:space="preserve">I</w:t>
      </w:r>
      <w:r>
        <w:rPr>
          <w:b/>
          <w:sz w:val="28"/>
          <w:szCs w:val="28"/>
        </w:rPr>
        <w:t xml:space="preserve"> этап реализации</w:t>
      </w:r>
      <w:r/>
    </w:p>
    <w:p>
      <w:pPr>
        <w:pStyle w:val="1190"/>
        <w:ind w:left="-142" w:right="-926" w:firstLine="0"/>
        <w:jc w:val="both"/>
        <w:widowControl w:val="off"/>
      </w:pPr>
      <w:r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/>
    </w:p>
    <w:tbl>
      <w:tblPr>
        <w:tblW w:w="0" w:type="auto"/>
        <w:tblInd w:w="-426" w:type="dxa"/>
        <w:tblLayout w:type="fixed"/>
        <w:tblCellMar>
          <w:left w:w="75" w:type="dxa"/>
          <w:top w:w="0" w:type="dxa"/>
          <w:right w:w="75" w:type="dxa"/>
          <w:bottom w:w="0" w:type="dxa"/>
        </w:tblCellMar>
        <w:tblLook w:val="04A0" w:firstRow="1" w:lastRow="0" w:firstColumn="1" w:lastColumn="0" w:noHBand="0" w:noVBand="1"/>
      </w:tblPr>
      <w:tblGrid>
        <w:gridCol w:w="566"/>
        <w:gridCol w:w="1703"/>
        <w:gridCol w:w="1134"/>
        <w:gridCol w:w="1658"/>
        <w:gridCol w:w="1178"/>
        <w:gridCol w:w="3685"/>
        <w:gridCol w:w="916"/>
        <w:gridCol w:w="993"/>
        <w:gridCol w:w="926"/>
        <w:gridCol w:w="879"/>
        <w:gridCol w:w="960"/>
        <w:gridCol w:w="992"/>
      </w:tblGrid>
      <w:tr>
        <w:trPr>
          <w:trHeight w:val="4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ind w:left="-75" w:right="-75" w:firstLine="0"/>
              <w:jc w:val="center"/>
              <w:widowControl w:val="off"/>
            </w:pPr>
            <w:r>
              <w:t xml:space="preserve">№</w:t>
            </w:r>
            <w:r/>
          </w:p>
          <w:p>
            <w:pPr>
              <w:pStyle w:val="1190"/>
              <w:ind w:left="-75" w:right="-75" w:firstLine="0"/>
              <w:jc w:val="center"/>
              <w:widowControl w:val="off"/>
            </w:pPr>
            <w:r>
              <w:t xml:space="preserve">п/п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Наименование муниципаль-ной программы,  подпрограмм, основных мероприятий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4" w:type="dxa"/>
            <w:vAlign w:val="top"/>
            <w:vMerge w:val="restart"/>
            <w:textDirection w:val="lrTb"/>
            <w:noWrap w:val="false"/>
          </w:tcPr>
          <w:p>
            <w:pPr>
              <w:pStyle w:val="1234"/>
              <w:numPr>
                <w:ilvl w:val="0"/>
                <w:numId w:val="0"/>
              </w:numPr>
              <w:ind w:left="0" w:right="0" w:firstLine="0"/>
              <w:jc w:val="left"/>
              <w:widowControl/>
              <w:outlineLvl w:val="1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Срок реализации (начало, заверше-ние)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8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ind w:left="-75" w:right="-75" w:firstLine="0"/>
              <w:jc w:val="center"/>
              <w:widowControl w:val="off"/>
            </w:pPr>
            <w:r>
              <w:t xml:space="preserve">Ответственный </w:t>
              <w:br w:type="textWrapping" w:clear="all"/>
              <w:t xml:space="preserve">исполнитель, соисполнитель, участник), ответственный за реализацию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78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ind w:left="-129" w:right="-75" w:firstLine="0"/>
              <w:jc w:val="center"/>
              <w:widowControl w:val="off"/>
            </w:pPr>
            <w:r>
              <w:rPr>
                <w:color w:val="000000"/>
              </w:rPr>
              <w:t xml:space="preserve">Вид показателя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Наименование показателя, единица измерения</w:t>
            </w:r>
            <w:r/>
          </w:p>
        </w:tc>
        <w:tc>
          <w:tcPr>
            <w:gridSpan w:val="6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66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Значения показателя конечного и непосредственного результатов по годам реализации</w:t>
            </w:r>
            <w:r/>
          </w:p>
        </w:tc>
      </w:tr>
      <w:tr>
        <w:trPr>
          <w:trHeight w:val="44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4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8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78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0"/>
                <w:szCs w:val="20"/>
              </w:rPr>
              <w:t xml:space="preserve">2015</w:t>
            </w:r>
            <w:r/>
          </w:p>
          <w:p>
            <w:pPr>
              <w:pStyle w:val="1190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0"/>
                <w:szCs w:val="20"/>
              </w:rPr>
              <w:t xml:space="preserve">2016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0"/>
                <w:szCs w:val="20"/>
              </w:rPr>
              <w:t xml:space="preserve">2017</w:t>
            </w:r>
            <w:r/>
          </w:p>
          <w:p>
            <w:pPr>
              <w:pStyle w:val="1190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9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0"/>
                <w:szCs w:val="20"/>
              </w:rPr>
              <w:t xml:space="preserve">2018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0"/>
                <w:szCs w:val="20"/>
              </w:rPr>
              <w:t xml:space="preserve">2019</w:t>
            </w:r>
            <w:r/>
          </w:p>
          <w:p>
            <w:pPr>
              <w:pStyle w:val="1190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0"/>
                <w:szCs w:val="20"/>
              </w:rPr>
              <w:t xml:space="preserve">2020</w:t>
            </w:r>
            <w:r/>
          </w:p>
          <w:p>
            <w:pPr>
              <w:pStyle w:val="1190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top"/>
            <w:textDirection w:val="lrTb"/>
            <w:noWrap w:val="false"/>
          </w:tcPr>
          <w:p>
            <w:pPr>
              <w:pStyle w:val="1190"/>
              <w:ind w:left="-217" w:right="0" w:firstLine="217"/>
              <w:jc w:val="center"/>
              <w:widowControl w:val="off"/>
            </w:pPr>
            <w:r>
              <w:rPr>
                <w:sz w:val="20"/>
                <w:szCs w:val="20"/>
              </w:rPr>
              <w:t xml:space="preserve">1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0"/>
                <w:szCs w:val="20"/>
              </w:rPr>
              <w:t xml:space="preserve">2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0"/>
                <w:szCs w:val="20"/>
              </w:rPr>
              <w:t xml:space="preserve">3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8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0"/>
                <w:szCs w:val="20"/>
              </w:rPr>
              <w:t xml:space="preserve">4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8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0"/>
                <w:szCs w:val="20"/>
              </w:rPr>
              <w:t xml:space="preserve">5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0"/>
                <w:szCs w:val="20"/>
              </w:rPr>
              <w:t xml:space="preserve">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0"/>
                <w:szCs w:val="20"/>
              </w:rPr>
              <w:t xml:space="preserve">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0"/>
                <w:szCs w:val="20"/>
              </w:rPr>
              <w:t xml:space="preserve">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0"/>
                <w:szCs w:val="20"/>
              </w:rPr>
              <w:t xml:space="preserve">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9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0"/>
                <w:szCs w:val="20"/>
              </w:rPr>
              <w:t xml:space="preserve">10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0"/>
                <w:szCs w:val="20"/>
              </w:rPr>
              <w:t xml:space="preserve">11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0"/>
                <w:szCs w:val="20"/>
              </w:rPr>
              <w:t xml:space="preserve">12</w:t>
            </w:r>
            <w:r/>
          </w:p>
        </w:tc>
      </w:tr>
      <w:tr>
        <w:trPr>
          <w:trHeight w:val="134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ind w:left="-9" w:right="0" w:firstLine="0"/>
              <w:jc w:val="center"/>
              <w:widowControl w:val="off"/>
            </w:pPr>
            <w:r>
              <w:t xml:space="preserve">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rPr>
                <w:b/>
              </w:rPr>
              <w:t xml:space="preserve">Муниципаль-ная программа «Совершенствование и развитие</w:t>
            </w:r>
            <w:r/>
          </w:p>
          <w:p>
            <w:pPr>
              <w:pStyle w:val="1190"/>
              <w:widowControl w:val="off"/>
            </w:pPr>
            <w:r>
              <w:rPr>
                <w:b/>
              </w:rPr>
              <w:t xml:space="preserve">транспортной системы и дорожной сети Чернянского района Белгородской области»</w:t>
            </w:r>
            <w:r/>
          </w:p>
          <w:p>
            <w:pPr>
              <w:pStyle w:val="1190"/>
              <w:ind w:left="0" w:right="-23" w:firstLine="0"/>
              <w:widowControl w:val="off"/>
              <w:rPr>
                <w:b/>
              </w:rPr>
            </w:pPr>
            <w:r>
              <w:rPr>
                <w:b/>
              </w:rPr>
            </w:r>
            <w:r/>
          </w:p>
          <w:p>
            <w:pPr>
              <w:pStyle w:val="1190"/>
              <w:jc w:val="both"/>
              <w:widowControl w:val="off"/>
              <w:rPr>
                <w:b/>
              </w:rPr>
            </w:pPr>
            <w:r>
              <w:rPr>
                <w:b/>
              </w:rPr>
            </w:r>
            <w:r/>
          </w:p>
          <w:p>
            <w:pPr>
              <w:pStyle w:val="1190"/>
              <w:jc w:val="both"/>
              <w:widowControl w:val="off"/>
              <w:rPr>
                <w:b/>
              </w:rPr>
            </w:pPr>
            <w:r>
              <w:rPr>
                <w:b/>
              </w:rPr>
            </w:r>
            <w:r/>
          </w:p>
          <w:p>
            <w:pPr>
              <w:pStyle w:val="1190"/>
              <w:jc w:val="both"/>
              <w:widowControl w:val="off"/>
              <w:rPr>
                <w:b/>
              </w:rPr>
            </w:pPr>
            <w:r>
              <w:rPr>
                <w:b/>
              </w:rPr>
            </w:r>
            <w:r/>
          </w:p>
          <w:p>
            <w:pPr>
              <w:pStyle w:val="1190"/>
              <w:jc w:val="both"/>
              <w:widowControl w:val="off"/>
              <w:rPr>
                <w:b/>
              </w:rPr>
            </w:pPr>
            <w:r>
              <w:rPr>
                <w:b/>
              </w:rPr>
            </w:r>
            <w:r/>
          </w:p>
          <w:p>
            <w:pPr>
              <w:pStyle w:val="1190"/>
              <w:jc w:val="both"/>
              <w:widowControl w:val="off"/>
              <w:rPr>
                <w:b/>
              </w:rPr>
            </w:pPr>
            <w:r>
              <w:rPr>
                <w:b/>
              </w:rPr>
            </w:r>
            <w:r/>
          </w:p>
          <w:p>
            <w:pPr>
              <w:pStyle w:val="1190"/>
              <w:jc w:val="both"/>
              <w:widowControl w:val="off"/>
              <w:rPr>
                <w:b/>
              </w:rPr>
            </w:pPr>
            <w:r>
              <w:rPr>
                <w:b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4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2015</w:t>
            </w:r>
            <w:r/>
          </w:p>
          <w:p>
            <w:pPr>
              <w:pStyle w:val="1190"/>
              <w:jc w:val="center"/>
              <w:widowControl w:val="off"/>
            </w:pPr>
            <w:r>
              <w:t xml:space="preserve">2020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8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ind w:left="10" w:right="0" w:firstLine="0"/>
              <w:jc w:val="both"/>
              <w:widowControl w:val="off"/>
            </w:pPr>
            <w:r>
              <w:t xml:space="preserve">МКУ «Управление строительства, транспорта связи и ЖКХ» Чернянского района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8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прогрессивный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Доля автомобильных дорог  местного значения, относящихся к УДС населенных пунктов, соответствующих нормативным требованиям к транспортно-эксплуатационным показателям, в общей протяженности автомобильных дорог,     в процентах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88,6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91,6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92,4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9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93,2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94,0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94,88</w:t>
            </w:r>
            <w:r/>
          </w:p>
        </w:tc>
      </w:tr>
      <w:tr>
        <w:trPr>
          <w:trHeight w:val="3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4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8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8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vAlign w:val="top"/>
            <w:textDirection w:val="lrTb"/>
            <w:noWrap w:val="false"/>
          </w:tcPr>
          <w:p>
            <w:pPr>
              <w:pStyle w:val="1190"/>
              <w:jc w:val="both"/>
              <w:widowControl w:val="off"/>
            </w:pPr>
            <w:r>
              <w:t xml:space="preserve">Густота автомобильных дорог местного значения с твердым покрытием, относящихся к УДС населенных пунктов, на 1000 кв. км территории, км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2"/>
                <w:szCs w:val="22"/>
              </w:rPr>
              <w:t xml:space="preserve">0,32257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2"/>
                <w:szCs w:val="22"/>
              </w:rPr>
              <w:t xml:space="preserve">0,33096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2"/>
                <w:szCs w:val="22"/>
              </w:rPr>
              <w:t xml:space="preserve">0,33096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9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2"/>
                <w:szCs w:val="22"/>
              </w:rPr>
              <w:t xml:space="preserve">0,33096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2"/>
                <w:szCs w:val="22"/>
              </w:rPr>
              <w:t xml:space="preserve">0,33214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2"/>
                <w:szCs w:val="22"/>
              </w:rPr>
              <w:t xml:space="preserve">0,33265</w:t>
            </w:r>
            <w:r/>
          </w:p>
        </w:tc>
      </w:tr>
      <w:tr>
        <w:trPr>
          <w:trHeight w:val="3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134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widowControl w:val="off"/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8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widowControl w:val="off"/>
            </w:pPr>
            <w:r/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178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прогрессивный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vAlign w:val="top"/>
            <w:textDirection w:val="lrTb"/>
            <w:noWrap w:val="false"/>
          </w:tcPr>
          <w:p>
            <w:pPr>
              <w:pStyle w:val="1190"/>
              <w:contextualSpacing/>
              <w:ind w:left="-20" w:right="0" w:firstLine="0"/>
              <w:jc w:val="both"/>
              <w:spacing w:before="0" w:after="0"/>
              <w:tabs>
                <w:tab w:val="left" w:pos="263" w:leader="none"/>
              </w:tabs>
            </w:pPr>
            <w:r>
              <w:t xml:space="preserve">Общая протяженность отремонтированных автодорог местного значения, относящихся к УДСнаселенных пунктов района, км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9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36,4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21,5</w:t>
            </w:r>
            <w:r/>
          </w:p>
        </w:tc>
      </w:tr>
      <w:tr>
        <w:trPr>
          <w:trHeight w:val="203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134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8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178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Общая протяженность построенных автомобильных дорог местного значения, относящихся к УДС населенных пунктов района  и в микрорайонах массовой жилищной застройки с твердым покрытием,  км.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6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rPr>
                <w:sz w:val="20"/>
                <w:szCs w:val="20"/>
              </w:rPr>
              <w:t xml:space="preserve">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6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5,348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9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4,971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4,217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134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8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178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vAlign w:val="top"/>
            <w:textDirection w:val="lrTb"/>
            <w:noWrap w:val="false"/>
          </w:tcPr>
          <w:p>
            <w:pPr>
              <w:pStyle w:val="1190"/>
              <w:jc w:val="both"/>
              <w:widowControl w:val="off"/>
            </w:pPr>
            <w:r>
              <w:t xml:space="preserve">Пассажирооборот транспортом общего пользования, млн. пасс.-км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10,2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10,4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10,6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9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10,8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11,0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11,2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66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widowControl w:val="off"/>
            </w:pPr>
            <w:r/>
            <w:r/>
          </w:p>
          <w:p>
            <w:pPr>
              <w:pStyle w:val="1190"/>
              <w:jc w:val="center"/>
              <w:widowControl w:val="off"/>
            </w:pPr>
            <w:r>
              <w:t xml:space="preserve"> </w:t>
            </w:r>
            <w:r/>
          </w:p>
          <w:p>
            <w:pPr>
              <w:pStyle w:val="1190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03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jc w:val="both"/>
              <w:widowControl w:val="off"/>
            </w:pPr>
            <w:r>
              <w:rPr>
                <w:b/>
              </w:rPr>
              <w:t xml:space="preserve">Подпрограм ма 1 </w:t>
            </w:r>
            <w:r/>
          </w:p>
          <w:p>
            <w:pPr>
              <w:pStyle w:val="1190"/>
              <w:jc w:val="both"/>
              <w:widowControl w:val="off"/>
            </w:pPr>
            <w:r>
              <w:rPr>
                <w:b/>
              </w:rPr>
              <w:t xml:space="preserve">«Совершенствование и развитие дорожной сети»</w:t>
            </w:r>
            <w:r/>
          </w:p>
          <w:p>
            <w:pPr>
              <w:pStyle w:val="1190"/>
              <w:jc w:val="center"/>
              <w:widowControl w:val="off"/>
              <w:rPr>
                <w:b/>
              </w:rPr>
            </w:pPr>
            <w:r>
              <w:rPr>
                <w:b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4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ind w:left="10" w:right="0" w:firstLine="0"/>
              <w:jc w:val="center"/>
              <w:widowControl w:val="off"/>
            </w:pPr>
            <w:r>
              <w:t xml:space="preserve">2015-2020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658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ind w:left="10" w:right="0" w:firstLine="0"/>
              <w:jc w:val="both"/>
              <w:widowControl w:val="off"/>
            </w:pPr>
            <w:r>
              <w:t xml:space="preserve">МКУ «Управление строительства, транспорта связи и ЖКХ» Чернянского района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78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contextualSpacing/>
              <w:ind w:left="-20" w:right="0" w:firstLine="0"/>
              <w:jc w:val="center"/>
              <w:spacing w:before="0" w:after="0"/>
              <w:tabs>
                <w:tab w:val="left" w:pos="263" w:leader="none"/>
              </w:tabs>
            </w:pPr>
            <w:r>
              <w:t xml:space="preserve">прогрессивный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Доля автомобильных дорог  местного значения, относящихся к УДС населенных пунктов, соответствующих нормативным требованиям к транспортно-эксплуатационным показателям, в общей протяженности автомобильных дорог,     в процентах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88,6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91,6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92,4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9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93,2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94,0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94,88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66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03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4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658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78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vAlign w:val="top"/>
            <w:textDirection w:val="lrTb"/>
            <w:noWrap w:val="false"/>
          </w:tcPr>
          <w:p>
            <w:pPr>
              <w:pStyle w:val="1190"/>
              <w:jc w:val="both"/>
              <w:widowControl w:val="off"/>
            </w:pPr>
            <w:r>
              <w:t xml:space="preserve">Густота автомобильных дорог местного значения с твердым покрытием, относящихся к УДС населенных пунктов, на 1000 кв.км территории, км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2"/>
                <w:szCs w:val="22"/>
              </w:rPr>
              <w:t xml:space="preserve">0,32257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2"/>
                <w:szCs w:val="22"/>
              </w:rPr>
              <w:t xml:space="preserve">0,33096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2"/>
                <w:szCs w:val="22"/>
              </w:rPr>
              <w:t xml:space="preserve">0,33096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9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2"/>
                <w:szCs w:val="22"/>
              </w:rPr>
              <w:t xml:space="preserve">0,33096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2"/>
                <w:szCs w:val="22"/>
              </w:rPr>
              <w:t xml:space="preserve">0,33214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2"/>
                <w:szCs w:val="22"/>
              </w:rPr>
              <w:t xml:space="preserve">0,33265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66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03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4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658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78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vAlign w:val="top"/>
            <w:textDirection w:val="lrTb"/>
            <w:noWrap w:val="false"/>
          </w:tcPr>
          <w:p>
            <w:pPr>
              <w:pStyle w:val="1190"/>
              <w:contextualSpacing/>
              <w:ind w:left="-20" w:right="0" w:firstLine="0"/>
              <w:jc w:val="both"/>
              <w:spacing w:before="0" w:after="0"/>
              <w:tabs>
                <w:tab w:val="left" w:pos="263" w:leader="none"/>
              </w:tabs>
            </w:pPr>
            <w:r>
              <w:t xml:space="preserve">Общая протяженность отремонтированных автодорог местного значения, относящихся к УДС населенных пунктов района, км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9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36,4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21,5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66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03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4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658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78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Общая протяженность автомобильных дорог с твердым покрытием в населенных пунктах и микрорайонах массовой жилищной застройки района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9,0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11,5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13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9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16,5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16,5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20,717</w:t>
            </w:r>
            <w:r/>
          </w:p>
        </w:tc>
      </w:tr>
      <w:tr>
        <w:trPr>
          <w:trHeight w:val="51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66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03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4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658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78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3685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contextualSpacing/>
              <w:jc w:val="both"/>
              <w:spacing w:before="0" w:after="0"/>
              <w:tabs>
                <w:tab w:val="left" w:pos="263" w:leader="none"/>
              </w:tabs>
            </w:pPr>
            <w:r>
              <w:t xml:space="preserve">Общая протяженность построенных автодорог с твердым покрытием в населенных пунктах района, км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16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93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26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5,348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879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4,971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60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92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4,217</w:t>
            </w:r>
            <w:r/>
          </w:p>
        </w:tc>
      </w:tr>
      <w:tr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566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03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Основное       </w:t>
              <w:br w:type="textWrapping" w:clear="all"/>
              <w:t xml:space="preserve">мероприятие 1.1.</w:t>
            </w:r>
            <w:r/>
          </w:p>
          <w:p>
            <w:pPr>
              <w:pStyle w:val="1190"/>
              <w:widowControl w:val="off"/>
            </w:pPr>
            <w:r>
              <w:t xml:space="preserve">«Содержание и ремонт автомобильных дорог местного значения и искусственных сооружений на них, относящихся к улично-дорожной сети населенных пунктов района»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4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2015-2020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658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МКУ «Управление строительства, транспорта связи и ЖКХ» Чернянского района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78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прогрессивный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vAlign w:val="top"/>
            <w:textDirection w:val="lrTb"/>
            <w:noWrap w:val="false"/>
          </w:tcPr>
          <w:p>
            <w:pPr>
              <w:pStyle w:val="1190"/>
              <w:contextualSpacing/>
              <w:ind w:left="-20" w:right="0" w:firstLine="0"/>
              <w:jc w:val="both"/>
              <w:spacing w:before="0" w:after="0"/>
              <w:tabs>
                <w:tab w:val="left" w:pos="263" w:leader="none"/>
              </w:tabs>
            </w:pPr>
            <w:r>
              <w:t xml:space="preserve">Протяженность автодорог и мостов местного значения, относящихся к УДС населенных пунктов района, подлежащих содержанию, км /пог.м.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6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rPr>
                <w:sz w:val="22"/>
                <w:szCs w:val="22"/>
              </w:rPr>
              <w:t xml:space="preserve">388,813 / 933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rPr>
                <w:sz w:val="22"/>
                <w:szCs w:val="22"/>
              </w:rPr>
              <w:t xml:space="preserve">401,126 / 933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6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rPr>
                <w:sz w:val="22"/>
                <w:szCs w:val="22"/>
              </w:rPr>
              <w:t xml:space="preserve">404,634 / 933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9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rPr>
                <w:sz w:val="22"/>
                <w:szCs w:val="22"/>
              </w:rPr>
              <w:t xml:space="preserve">408,142 / 933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rPr>
                <w:sz w:val="22"/>
                <w:szCs w:val="22"/>
              </w:rPr>
              <w:t xml:space="preserve">411,825 / 933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rPr>
                <w:sz w:val="22"/>
                <w:szCs w:val="22"/>
              </w:rPr>
              <w:t xml:space="preserve">415,508 / 933</w:t>
            </w:r>
            <w:r/>
          </w:p>
        </w:tc>
      </w:tr>
      <w:tr>
        <w:trPr>
          <w:trHeight w:val="1595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566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03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4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658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78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vAlign w:val="top"/>
            <w:textDirection w:val="lrTb"/>
            <w:noWrap w:val="false"/>
          </w:tcPr>
          <w:p>
            <w:pPr>
              <w:pStyle w:val="1190"/>
              <w:contextualSpacing/>
              <w:ind w:left="-20" w:right="0" w:firstLine="0"/>
              <w:jc w:val="both"/>
              <w:spacing w:before="0" w:after="0"/>
              <w:tabs>
                <w:tab w:val="left" w:pos="263" w:leader="none"/>
              </w:tabs>
            </w:pPr>
            <w:r>
              <w:t xml:space="preserve">Протяженность автодорог и мостов местного значения, относящихся к УДС населенных пунктов района, подлежащих  ремонту,  км / пог.м.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9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7 / 472,5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36,4 / 472,5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21,5 / 472,5</w:t>
            </w:r>
            <w:r/>
          </w:p>
        </w:tc>
      </w:tr>
      <w:tr>
        <w:trPr>
          <w:trHeight w:val="213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66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03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Основное       </w:t>
              <w:br w:type="textWrapping" w:clear="all"/>
              <w:t xml:space="preserve">мероприятие 1.2.</w:t>
            </w:r>
            <w:r/>
          </w:p>
          <w:p>
            <w:pPr>
              <w:pStyle w:val="1190"/>
              <w:widowControl w:val="off"/>
            </w:pPr>
            <w:r>
              <w:t xml:space="preserve">«Капитальный ремонт и ремонт автомобильных дорог местного значения, относящихся  к улично-дорожной сети населенных пунктов района»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658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МКУ «Управление строительства, транспорта связи и ЖКХ» Чернянского района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78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прогрессивный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vAlign w:val="top"/>
            <w:textDirection w:val="lrTb"/>
            <w:noWrap w:val="false"/>
          </w:tcPr>
          <w:p>
            <w:pPr>
              <w:pStyle w:val="1190"/>
              <w:jc w:val="both"/>
              <w:widowControl w:val="off"/>
            </w:pPr>
            <w:r>
              <w:t xml:space="preserve">Протяженность автодорог местного значения, относящихся  к УДС населенных пунктов района, подлежащих капитальному ремонту и ремонту, км</w:t>
            </w:r>
            <w:r/>
          </w:p>
          <w:p>
            <w:pPr>
              <w:pStyle w:val="1190"/>
              <w:jc w:val="both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9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36,4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21,5</w:t>
            </w:r>
            <w:r/>
          </w:p>
        </w:tc>
      </w:tr>
      <w:tr>
        <w:trPr>
          <w:trHeight w:val="213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66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03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Основное мероприятие 1.3.</w:t>
            </w:r>
            <w:r/>
          </w:p>
          <w:p>
            <w:pPr>
              <w:pStyle w:val="1190"/>
              <w:widowControl w:val="off"/>
            </w:pPr>
            <w:r>
              <w:t xml:space="preserve">Субсидии на строительство (реконструкцию)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4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2015-2020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658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МКУ «Управление строительства, транспорта связи и ЖКХ» Чернянского района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78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прогрессивный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vAlign w:val="top"/>
            <w:textDirection w:val="lrTb"/>
            <w:noWrap w:val="false"/>
          </w:tcPr>
          <w:p>
            <w:pPr>
              <w:pStyle w:val="1190"/>
              <w:jc w:val="both"/>
              <w:widowControl w:val="off"/>
            </w:pPr>
            <w:r>
              <w:t xml:space="preserve">Количество населенных пунктов, обеспеченных круглогодичной связью с сетью автодорог общего пользования по дорогам с твердым покрытием, штук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6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43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46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6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48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9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52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55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57</w:t>
            </w:r>
            <w:r/>
          </w:p>
        </w:tc>
      </w:tr>
      <w:tr>
        <w:trPr>
          <w:trHeight w:val="1996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66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03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4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658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78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vAlign w:val="top"/>
            <w:textDirection w:val="lrTb"/>
            <w:noWrap w:val="false"/>
          </w:tcPr>
          <w:p>
            <w:pPr>
              <w:pStyle w:val="1190"/>
              <w:jc w:val="both"/>
              <w:widowControl w:val="off"/>
            </w:pPr>
            <w:r>
              <w:t xml:space="preserve">Протяженность построенных автомобильных дорог, соединяющих населенные пункты, км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6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6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9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4,971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4,217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Основное мероприятие 1.4 Установка новых дорожных знаков и строительство пешеходных тротуаров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2015-2020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8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МКУ «Управление строительства, транспорта связи и ЖКХ» Чернянского района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8" w:type="dxa"/>
            <w:vAlign w:val="top"/>
            <w:textDirection w:val="lrTb"/>
            <w:noWrap w:val="false"/>
          </w:tcPr>
          <w:p>
            <w:pPr>
              <w:pStyle w:val="1190"/>
              <w:contextualSpacing/>
              <w:ind w:left="-20" w:right="0" w:firstLine="0"/>
              <w:jc w:val="center"/>
              <w:spacing w:before="0" w:after="0"/>
              <w:tabs>
                <w:tab w:val="left" w:pos="263" w:leader="none"/>
              </w:tabs>
            </w:pPr>
            <w:r>
              <w:t xml:space="preserve">прогрессивный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vAlign w:val="top"/>
            <w:textDirection w:val="lrTb"/>
            <w:noWrap w:val="false"/>
          </w:tcPr>
          <w:p>
            <w:pPr>
              <w:pStyle w:val="1190"/>
              <w:contextualSpacing/>
              <w:ind w:left="-20" w:right="0" w:firstLine="0"/>
              <w:jc w:val="both"/>
              <w:spacing w:before="0" w:after="0"/>
              <w:tabs>
                <w:tab w:val="left" w:pos="263" w:leader="none"/>
              </w:tabs>
            </w:pPr>
            <w:r>
              <w:t xml:space="preserve">Количество знаков, шт, общая площадь построенных тротуаров, кв.м.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40/200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40/200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40/200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9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40/200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40/200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40/200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rPr>
                <w:b/>
              </w:rPr>
              <w:t xml:space="preserve">Подпрограм ма 2 </w:t>
            </w:r>
            <w:r/>
          </w:p>
          <w:p>
            <w:pPr>
              <w:pStyle w:val="1190"/>
              <w:widowControl w:val="off"/>
            </w:pPr>
            <w:r>
              <w:rPr>
                <w:b/>
              </w:rPr>
              <w:t xml:space="preserve">«Совершенствование и развитие транспортной системы Чернянского района»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2015-2020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8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МКУ «Управление строительства, транспорта связи и ЖКХ» Чернянского района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8" w:type="dxa"/>
            <w:vAlign w:val="top"/>
            <w:textDirection w:val="lrTb"/>
            <w:noWrap w:val="false"/>
          </w:tcPr>
          <w:p>
            <w:pPr>
              <w:pStyle w:val="1190"/>
              <w:contextualSpacing/>
              <w:ind w:left="-20" w:right="0" w:firstLine="0"/>
              <w:jc w:val="center"/>
              <w:spacing w:before="0" w:after="0"/>
              <w:tabs>
                <w:tab w:val="left" w:pos="263" w:leader="none"/>
              </w:tabs>
            </w:pPr>
            <w:r>
              <w:t xml:space="preserve">прогрессивный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vAlign w:val="top"/>
            <w:textDirection w:val="lrTb"/>
            <w:noWrap w:val="false"/>
          </w:tcPr>
          <w:p>
            <w:pPr>
              <w:pStyle w:val="1190"/>
              <w:contextualSpacing/>
              <w:ind w:left="-20" w:right="0" w:firstLine="0"/>
              <w:jc w:val="both"/>
              <w:spacing w:before="0" w:after="0"/>
              <w:tabs>
                <w:tab w:val="left" w:pos="263" w:leader="none"/>
              </w:tabs>
            </w:pPr>
            <w:r>
              <w:t xml:space="preserve">Пассажирооборот транспортом                   общего пользования, </w:t>
            </w:r>
            <w:r/>
          </w:p>
          <w:p>
            <w:pPr>
              <w:pStyle w:val="1190"/>
              <w:contextualSpacing/>
              <w:ind w:left="-20" w:right="0" w:firstLine="0"/>
              <w:jc w:val="both"/>
              <w:spacing w:before="0" w:after="0"/>
              <w:tabs>
                <w:tab w:val="left" w:pos="263" w:leader="none"/>
              </w:tabs>
            </w:pPr>
            <w:r>
              <w:t xml:space="preserve">млн. пасс.-км</w:t>
            </w:r>
            <w:r/>
          </w:p>
          <w:p>
            <w:pPr>
              <w:pStyle w:val="1190"/>
              <w:contextualSpacing/>
              <w:ind w:left="-20" w:right="0" w:firstLine="0"/>
              <w:jc w:val="both"/>
              <w:spacing w:before="0" w:after="0"/>
              <w:tabs>
                <w:tab w:val="left" w:pos="263" w:leader="none"/>
              </w:tabs>
              <w:rPr>
                <w:lang w:eastAsia="en-US"/>
              </w:rPr>
            </w:pPr>
            <w:r>
              <w:rPr>
                <w:lang w:eastAsia="en-U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10,2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10,4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10,6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9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10,8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11,0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11,2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  <w:p>
            <w:pPr>
              <w:pStyle w:val="119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  <w:p>
            <w:pPr>
              <w:pStyle w:val="119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  <w:p>
            <w:pPr>
              <w:pStyle w:val="119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Основное       </w:t>
              <w:br w:type="textWrapping" w:clear="all"/>
              <w:t xml:space="preserve">мероприятие 2.1.</w:t>
            </w:r>
            <w:r/>
          </w:p>
          <w:p>
            <w:pPr>
              <w:pStyle w:val="1190"/>
              <w:widowControl w:val="off"/>
            </w:pPr>
            <w:r>
              <w:t xml:space="preserve">Средства на проезд студентов, аспирантов и учащихся учебных заведений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2015-2020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8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МКУ «Управление строительства, транспорта связи и ЖКХ» Чернянского района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8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регрессивный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vAlign w:val="top"/>
            <w:textDirection w:val="lrTb"/>
            <w:noWrap w:val="false"/>
          </w:tcPr>
          <w:p>
            <w:pPr>
              <w:pStyle w:val="1190"/>
              <w:jc w:val="both"/>
              <w:widowControl w:val="off"/>
            </w:pPr>
            <w:r>
              <w:t xml:space="preserve">Количество межмуниципальных пригородных маршрутов, штук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9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0</w:t>
            </w:r>
            <w:r/>
          </w:p>
        </w:tc>
      </w:tr>
      <w:tr>
        <w:trPr>
          <w:trHeight w:val="115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Основное       </w:t>
              <w:br w:type="textWrapping" w:clear="all"/>
              <w:t xml:space="preserve">мероприятие 2.2.</w:t>
            </w:r>
            <w:r/>
          </w:p>
          <w:p>
            <w:pPr>
              <w:pStyle w:val="1190"/>
              <w:widowControl w:val="off"/>
            </w:pPr>
            <w:r>
              <w:t xml:space="preserve">Средства на покрытие убытков  по организации транспортного обслуживания  на внутримуниципальном пригородном сообщении     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2015-2020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8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МКУ «Управление строительства, транспорта связи и ЖКХ» Чернянского района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8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прогрессивный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Количество пригородных внутримуниципальных маршрутов, штук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9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11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11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16</w:t>
            </w:r>
            <w:r/>
          </w:p>
        </w:tc>
      </w:tr>
    </w:tbl>
    <w:p>
      <w:pPr>
        <w:pStyle w:val="1190"/>
        <w:jc w:val="center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1190"/>
        <w:jc w:val="center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1190"/>
        <w:jc w:val="center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1190"/>
        <w:jc w:val="center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1190"/>
        <w:jc w:val="center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1190"/>
        <w:jc w:val="center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1190"/>
        <w:jc w:val="center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1190"/>
        <w:jc w:val="center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1190"/>
        <w:jc w:val="center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1190"/>
        <w:jc w:val="center"/>
        <w:widowControl w:val="off"/>
      </w:pPr>
      <w:r>
        <w:rPr>
          <w:b/>
          <w:sz w:val="28"/>
          <w:szCs w:val="28"/>
        </w:rPr>
        <w:t xml:space="preserve">Система основных мероприятий и показателей муниципальной программы </w:t>
      </w:r>
      <w:r/>
    </w:p>
    <w:p>
      <w:pPr>
        <w:pStyle w:val="1190"/>
        <w:jc w:val="center"/>
        <w:widowControl w:val="off"/>
      </w:pPr>
      <w:r>
        <w:rPr>
          <w:b/>
          <w:sz w:val="28"/>
          <w:szCs w:val="28"/>
        </w:rPr>
        <w:t xml:space="preserve">«Совершенствование и развитие транспортной системы и дорожной сети Чернянского района </w:t>
      </w:r>
      <w:r/>
    </w:p>
    <w:p>
      <w:pPr>
        <w:pStyle w:val="1190"/>
        <w:jc w:val="center"/>
        <w:widowControl w:val="off"/>
      </w:pPr>
      <w:r>
        <w:rPr>
          <w:b/>
          <w:sz w:val="28"/>
          <w:szCs w:val="28"/>
        </w:rPr>
        <w:t xml:space="preserve">Белгородской области» на </w:t>
      </w:r>
      <w:r>
        <w:rPr>
          <w:b/>
          <w:sz w:val="28"/>
          <w:szCs w:val="28"/>
          <w:lang w:val="en-US"/>
        </w:rPr>
        <w:t xml:space="preserve">II</w:t>
      </w:r>
      <w:r>
        <w:rPr>
          <w:b/>
          <w:sz w:val="28"/>
          <w:szCs w:val="28"/>
        </w:rPr>
        <w:t xml:space="preserve"> этап реализации</w:t>
      </w:r>
      <w:r/>
    </w:p>
    <w:p>
      <w:pPr>
        <w:pStyle w:val="1190"/>
        <w:jc w:val="center"/>
        <w:widowControl w:val="off"/>
        <w:rPr>
          <w:b/>
          <w:sz w:val="16"/>
          <w:szCs w:val="16"/>
        </w:rPr>
      </w:pPr>
      <w:r>
        <w:rPr>
          <w:b/>
          <w:sz w:val="16"/>
          <w:szCs w:val="16"/>
        </w:rPr>
      </w:r>
      <w:r/>
    </w:p>
    <w:p>
      <w:pPr>
        <w:pStyle w:val="1190"/>
        <w:ind w:left="-142" w:right="-926" w:firstLine="0"/>
        <w:jc w:val="both"/>
        <w:widowControl w:val="off"/>
      </w:pPr>
      <w:r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/>
    </w:p>
    <w:tbl>
      <w:tblPr>
        <w:tblW w:w="0" w:type="auto"/>
        <w:tblInd w:w="-426" w:type="dxa"/>
        <w:tblLayout w:type="fixed"/>
        <w:tblCellMar>
          <w:left w:w="75" w:type="dxa"/>
          <w:top w:w="0" w:type="dxa"/>
          <w:right w:w="75" w:type="dxa"/>
          <w:bottom w:w="0" w:type="dxa"/>
        </w:tblCellMar>
        <w:tblLook w:val="04A0" w:firstRow="1" w:lastRow="0" w:firstColumn="1" w:lastColumn="0" w:noHBand="0" w:noVBand="1"/>
      </w:tblPr>
      <w:tblGrid>
        <w:gridCol w:w="566"/>
        <w:gridCol w:w="2345"/>
        <w:gridCol w:w="1626"/>
        <w:gridCol w:w="1658"/>
        <w:gridCol w:w="1771"/>
        <w:gridCol w:w="3062"/>
        <w:gridCol w:w="766"/>
        <w:gridCol w:w="784"/>
        <w:gridCol w:w="784"/>
        <w:gridCol w:w="784"/>
        <w:gridCol w:w="709"/>
        <w:gridCol w:w="784"/>
      </w:tblGrid>
      <w:tr>
        <w:trPr>
          <w:trHeight w:val="4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ind w:left="-75" w:right="-75" w:firstLine="0"/>
              <w:jc w:val="center"/>
              <w:widowControl w:val="off"/>
            </w:pPr>
            <w:r>
              <w:t xml:space="preserve">№</w:t>
            </w:r>
            <w:r/>
          </w:p>
          <w:p>
            <w:pPr>
              <w:pStyle w:val="1190"/>
              <w:ind w:left="-75" w:right="-75" w:firstLine="0"/>
              <w:jc w:val="center"/>
              <w:widowControl w:val="off"/>
            </w:pPr>
            <w:r>
              <w:t xml:space="preserve">п/п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5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Наименование муниципальной программы,  подпрограмм, основных мероприятий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626" w:type="dxa"/>
            <w:vAlign w:val="top"/>
            <w:vMerge w:val="restart"/>
            <w:textDirection w:val="lrTb"/>
            <w:noWrap w:val="false"/>
          </w:tcPr>
          <w:p>
            <w:pPr>
              <w:pStyle w:val="1234"/>
              <w:numPr>
                <w:ilvl w:val="0"/>
                <w:numId w:val="0"/>
              </w:numPr>
              <w:ind w:left="0" w:right="0" w:firstLine="720"/>
              <w:jc w:val="center"/>
              <w:widowControl/>
              <w:outlineLvl w:val="1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Срок реализации (начало, завершение)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8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ind w:left="-75" w:right="-75" w:firstLine="0"/>
              <w:jc w:val="center"/>
              <w:widowControl w:val="off"/>
            </w:pPr>
            <w:r>
              <w:t xml:space="preserve">Ответственный </w:t>
              <w:br w:type="textWrapping" w:clear="all"/>
              <w:t xml:space="preserve">исполнитель, соисполнитель, участник), ответственный за реализацию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71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ind w:left="-129" w:right="-75" w:firstLine="0"/>
              <w:jc w:val="center"/>
              <w:widowControl w:val="off"/>
            </w:pPr>
            <w:r>
              <w:rPr>
                <w:color w:val="000000"/>
              </w:rPr>
              <w:t xml:space="preserve">Вид показателя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2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Наименование показателя, единица измерения</w:t>
            </w:r>
            <w:r/>
          </w:p>
        </w:tc>
        <w:tc>
          <w:tcPr>
            <w:gridSpan w:val="6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461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Значения показателя конечного и непосредственного результатов по годам реализации</w:t>
            </w:r>
            <w:r/>
          </w:p>
          <w:p>
            <w:r/>
            <w:r/>
          </w:p>
        </w:tc>
      </w:tr>
      <w:tr>
        <w:trPr>
          <w:trHeight w:val="44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5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626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8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71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2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0"/>
                <w:szCs w:val="20"/>
              </w:rPr>
              <w:t xml:space="preserve">20</w:t>
            </w:r>
            <w:r>
              <w:rPr>
                <w:sz w:val="20"/>
                <w:szCs w:val="20"/>
                <w:lang w:val="en-US"/>
              </w:rPr>
              <w:t xml:space="preserve">21</w:t>
            </w:r>
            <w:r/>
          </w:p>
          <w:p>
            <w:pPr>
              <w:pStyle w:val="1190"/>
              <w:jc w:val="center"/>
              <w:widowControl w:val="off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0"/>
                <w:szCs w:val="20"/>
              </w:rPr>
              <w:t xml:space="preserve">20</w:t>
            </w:r>
            <w:r>
              <w:rPr>
                <w:sz w:val="20"/>
                <w:szCs w:val="20"/>
                <w:lang w:val="en-US"/>
              </w:rPr>
              <w:t xml:space="preserve">22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0"/>
                <w:szCs w:val="20"/>
              </w:rPr>
              <w:t xml:space="preserve">20</w:t>
            </w:r>
            <w:r>
              <w:rPr>
                <w:sz w:val="20"/>
                <w:szCs w:val="20"/>
                <w:lang w:val="en-US"/>
              </w:rPr>
              <w:t xml:space="preserve">23</w:t>
            </w:r>
            <w:r/>
          </w:p>
          <w:p>
            <w:pPr>
              <w:pStyle w:val="1190"/>
              <w:jc w:val="center"/>
              <w:widowControl w:val="off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0"/>
                <w:szCs w:val="20"/>
              </w:rPr>
              <w:t xml:space="preserve">20</w:t>
            </w:r>
            <w:r>
              <w:rPr>
                <w:sz w:val="20"/>
                <w:szCs w:val="20"/>
                <w:lang w:val="en-US"/>
              </w:rPr>
              <w:t xml:space="preserve">24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rPr>
                <w:sz w:val="20"/>
                <w:szCs w:val="20"/>
              </w:rPr>
              <w:t xml:space="preserve">20</w:t>
            </w:r>
            <w:r>
              <w:rPr>
                <w:sz w:val="20"/>
                <w:szCs w:val="20"/>
                <w:lang w:val="en-US"/>
              </w:rPr>
              <w:t xml:space="preserve">25</w:t>
            </w:r>
            <w:r/>
          </w:p>
          <w:p>
            <w:pPr>
              <w:pStyle w:val="1190"/>
              <w:jc w:val="center"/>
              <w:widowControl w:val="off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</w:t>
            </w:r>
            <w:r>
              <w:rPr>
                <w:sz w:val="20"/>
                <w:szCs w:val="20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top"/>
            <w:textDirection w:val="lrTb"/>
            <w:noWrap w:val="false"/>
          </w:tcPr>
          <w:p>
            <w:pPr>
              <w:pStyle w:val="1190"/>
              <w:ind w:left="-217" w:right="0" w:firstLine="217"/>
              <w:jc w:val="center"/>
              <w:widowControl w:val="off"/>
            </w:pPr>
            <w:r>
              <w:rPr>
                <w:sz w:val="20"/>
                <w:szCs w:val="20"/>
              </w:rPr>
              <w:t xml:space="preserve">1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5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0"/>
                <w:szCs w:val="20"/>
              </w:rPr>
              <w:t xml:space="preserve">2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0"/>
                <w:szCs w:val="20"/>
              </w:rPr>
              <w:t xml:space="preserve">3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8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0"/>
                <w:szCs w:val="20"/>
              </w:rPr>
              <w:t xml:space="preserve">4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1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0"/>
                <w:szCs w:val="20"/>
              </w:rPr>
              <w:t xml:space="preserve">5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2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0"/>
                <w:szCs w:val="20"/>
              </w:rPr>
              <w:t xml:space="preserve">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0"/>
                <w:szCs w:val="20"/>
              </w:rPr>
              <w:t xml:space="preserve">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0"/>
                <w:szCs w:val="20"/>
              </w:rPr>
              <w:t xml:space="preserve">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0"/>
                <w:szCs w:val="20"/>
              </w:rPr>
              <w:t xml:space="preserve">10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0"/>
                <w:szCs w:val="20"/>
              </w:rPr>
              <w:t xml:space="preserve">11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0"/>
                <w:szCs w:val="20"/>
              </w:rPr>
              <w:t xml:space="preserve">12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/>
          </w:p>
        </w:tc>
      </w:tr>
      <w:tr>
        <w:trPr>
          <w:trHeight w:val="134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ind w:left="-9" w:right="0" w:firstLine="0"/>
              <w:jc w:val="center"/>
              <w:widowControl w:val="off"/>
            </w:pPr>
            <w:r>
              <w:t xml:space="preserve">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5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rPr>
                <w:b/>
              </w:rPr>
              <w:t xml:space="preserve">Муниципальная программа «Совершенствова-ние и развитие</w:t>
            </w:r>
            <w:r/>
          </w:p>
          <w:p>
            <w:pPr>
              <w:pStyle w:val="1190"/>
              <w:widowControl w:val="off"/>
            </w:pPr>
            <w:r>
              <w:rPr>
                <w:b/>
              </w:rPr>
              <w:t xml:space="preserve">транспортной системы и дорожной сети Чернянского района Белгородской области»</w:t>
            </w:r>
            <w:r/>
          </w:p>
          <w:p>
            <w:pPr>
              <w:pStyle w:val="1190"/>
              <w:ind w:left="0" w:right="-23" w:firstLine="0"/>
              <w:widowControl w:val="off"/>
              <w:rPr>
                <w:b/>
              </w:rPr>
            </w:pPr>
            <w:r>
              <w:rPr>
                <w:b/>
              </w:rPr>
            </w:r>
            <w:r/>
          </w:p>
          <w:p>
            <w:pPr>
              <w:pStyle w:val="1190"/>
              <w:jc w:val="both"/>
              <w:widowControl w:val="off"/>
              <w:rPr>
                <w:b/>
              </w:rPr>
            </w:pPr>
            <w:r>
              <w:rPr>
                <w:b/>
              </w:rPr>
            </w:r>
            <w:r/>
          </w:p>
          <w:p>
            <w:pPr>
              <w:pStyle w:val="1190"/>
              <w:jc w:val="both"/>
              <w:widowControl w:val="off"/>
              <w:rPr>
                <w:b/>
              </w:rPr>
            </w:pPr>
            <w:r>
              <w:rPr>
                <w:b/>
              </w:rPr>
            </w:r>
            <w:r/>
          </w:p>
          <w:p>
            <w:pPr>
              <w:pStyle w:val="1190"/>
              <w:jc w:val="both"/>
              <w:widowControl w:val="off"/>
              <w:rPr>
                <w:b/>
              </w:rPr>
            </w:pPr>
            <w:r>
              <w:rPr>
                <w:b/>
              </w:rPr>
            </w:r>
            <w:r/>
          </w:p>
          <w:p>
            <w:pPr>
              <w:pStyle w:val="1190"/>
              <w:jc w:val="both"/>
              <w:widowControl w:val="off"/>
              <w:rPr>
                <w:b/>
              </w:rPr>
            </w:pPr>
            <w:r>
              <w:rPr>
                <w:b/>
              </w:rPr>
            </w:r>
            <w:r/>
          </w:p>
          <w:p>
            <w:pPr>
              <w:pStyle w:val="1190"/>
              <w:jc w:val="both"/>
              <w:widowControl w:val="off"/>
              <w:rPr>
                <w:b/>
              </w:rPr>
            </w:pPr>
            <w:r>
              <w:rPr>
                <w:b/>
              </w:rPr>
            </w:r>
            <w:r/>
          </w:p>
          <w:p>
            <w:pPr>
              <w:pStyle w:val="1190"/>
              <w:jc w:val="both"/>
              <w:widowControl w:val="off"/>
              <w:rPr>
                <w:b/>
              </w:rPr>
            </w:pPr>
            <w:r>
              <w:rPr>
                <w:b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626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20</w:t>
            </w:r>
            <w:r>
              <w:rPr>
                <w:lang w:val="en-US"/>
              </w:rPr>
              <w:t xml:space="preserve">21</w:t>
            </w:r>
            <w:r>
              <w:t xml:space="preserve">-</w:t>
            </w:r>
            <w:r/>
          </w:p>
          <w:p>
            <w:pPr>
              <w:pStyle w:val="1190"/>
              <w:jc w:val="center"/>
              <w:widowControl w:val="off"/>
            </w:pPr>
            <w:r>
              <w:t xml:space="preserve">202</w:t>
            </w:r>
            <w:r>
              <w:rPr>
                <w:lang w:val="en-US"/>
              </w:rPr>
              <w:t xml:space="preserve">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8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ind w:left="10" w:right="0" w:firstLine="0"/>
              <w:jc w:val="both"/>
              <w:widowControl w:val="off"/>
            </w:pPr>
            <w:r>
              <w:t xml:space="preserve">МКУ «Управление строительства, транспорта связи и ЖКХ» Чернянского района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1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прогрессивный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2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Доля автомобильных дорог  местного значения, относящихся к улично-дорожной сети населенных пунктов, соответствующих нормативным требованиям к транспортно-эксплуатационным показателям, в общей протяженности автомобильных дорог,     в процентах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94,9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94,95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94,96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95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95,1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95,2</w:t>
            </w:r>
            <w:r>
              <w:rPr>
                <w:sz w:val="20"/>
                <w:szCs w:val="20"/>
              </w:rPr>
            </w:r>
            <w:r/>
          </w:p>
        </w:tc>
      </w:tr>
      <w:tr>
        <w:trPr>
          <w:trHeight w:val="3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5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626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8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1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2" w:type="dxa"/>
            <w:vAlign w:val="top"/>
            <w:textDirection w:val="lrTb"/>
            <w:noWrap w:val="false"/>
          </w:tcPr>
          <w:p>
            <w:pPr>
              <w:pStyle w:val="1190"/>
              <w:jc w:val="both"/>
              <w:widowControl w:val="off"/>
            </w:pPr>
            <w:r>
              <w:t xml:space="preserve">Густота автомобильных дорог местного значения с твердым покрытием, относящихся к улично-дорожной сети населенных пунктов, на 1000 кв. км территории, км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0,3328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0,3329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0,333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0,3331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0,3332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0,3333</w:t>
            </w:r>
            <w:r>
              <w:rPr>
                <w:sz w:val="20"/>
                <w:szCs w:val="20"/>
              </w:rPr>
            </w:r>
            <w:r/>
          </w:p>
        </w:tc>
      </w:tr>
      <w:tr>
        <w:trPr>
          <w:trHeight w:val="3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5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626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widowControl w:val="off"/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8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widowControl w:val="off"/>
            </w:pPr>
            <w:r/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771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регрессивный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2" w:type="dxa"/>
            <w:vAlign w:val="top"/>
            <w:textDirection w:val="lrTb"/>
            <w:noWrap w:val="false"/>
          </w:tcPr>
          <w:p>
            <w:pPr>
              <w:pStyle w:val="1190"/>
              <w:contextualSpacing/>
              <w:ind w:left="-20" w:right="0" w:firstLine="0"/>
              <w:jc w:val="both"/>
              <w:spacing w:before="0" w:after="0"/>
              <w:tabs>
                <w:tab w:val="left" w:pos="263" w:leader="none"/>
              </w:tabs>
            </w:pPr>
            <w:r>
              <w:t xml:space="preserve">Общая протяженность отремонтированных автодорог местного значения, относящихся к улично-дорожной сети населенных пунктов района, км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7,5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7,5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7,3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jc w:val="center"/>
            </w:pPr>
            <w:r>
              <w:t xml:space="preserve">7</w:t>
            </w:r>
            <w:r/>
          </w:p>
        </w:tc>
      </w:tr>
      <w:tr>
        <w:trPr>
          <w:trHeight w:val="291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5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626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8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771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2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Общая протяженность построенных автомобильных дорог местного значения, относящихся к улично-дорожной сети населенных пунктов района  и в микрорайонах массовой жилищной застройки с твердым покрытием,  км.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1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1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1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0,603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5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626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8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771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2" w:type="dxa"/>
            <w:vAlign w:val="top"/>
            <w:textDirection w:val="lrTb"/>
            <w:noWrap w:val="false"/>
          </w:tcPr>
          <w:p>
            <w:pPr>
              <w:pStyle w:val="1190"/>
              <w:jc w:val="both"/>
              <w:widowControl w:val="off"/>
            </w:pPr>
            <w:r>
              <w:t xml:space="preserve">Пассажирооборот транспортом общего пользования, млн. пасс.-км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11,3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11,4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11,5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11,6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11,7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jc w:val="center"/>
            </w:pPr>
            <w:r>
              <w:t xml:space="preserve">11,7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66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widowControl w:val="off"/>
            </w:pPr>
            <w:r/>
            <w:r/>
          </w:p>
          <w:p>
            <w:pPr>
              <w:pStyle w:val="1190"/>
              <w:jc w:val="center"/>
              <w:widowControl w:val="off"/>
            </w:pPr>
            <w:r>
              <w:t xml:space="preserve"> </w:t>
            </w:r>
            <w:r/>
          </w:p>
          <w:p>
            <w:pPr>
              <w:pStyle w:val="1190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345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jc w:val="both"/>
              <w:widowControl w:val="off"/>
            </w:pPr>
            <w:r>
              <w:rPr>
                <w:b/>
              </w:rPr>
              <w:t xml:space="preserve">Подпрограмма 1 </w:t>
            </w:r>
            <w:r/>
          </w:p>
          <w:p>
            <w:pPr>
              <w:pStyle w:val="1190"/>
              <w:jc w:val="both"/>
              <w:widowControl w:val="off"/>
            </w:pPr>
            <w:r>
              <w:rPr>
                <w:b/>
              </w:rPr>
              <w:t xml:space="preserve">«Совершенствова-ние и развитие дорожной сети»</w:t>
            </w:r>
            <w:r/>
          </w:p>
          <w:p>
            <w:pPr>
              <w:pStyle w:val="1190"/>
              <w:jc w:val="center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626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ind w:left="10" w:right="0" w:firstLine="0"/>
              <w:jc w:val="center"/>
              <w:widowControl w:val="off"/>
            </w:pPr>
            <w:r>
              <w:t xml:space="preserve">2021-2026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658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ind w:left="10" w:right="0" w:firstLine="0"/>
              <w:jc w:val="both"/>
              <w:widowControl w:val="off"/>
            </w:pPr>
            <w:r>
              <w:t xml:space="preserve">МКУ «Управление строительства, транспорта связи и ЖКХ» Чернянского района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71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contextualSpacing/>
              <w:ind w:left="-20" w:right="0" w:firstLine="0"/>
              <w:jc w:val="center"/>
              <w:spacing w:before="0" w:after="0"/>
              <w:tabs>
                <w:tab w:val="left" w:pos="263" w:leader="none"/>
              </w:tabs>
            </w:pPr>
            <w:r>
              <w:t xml:space="preserve">прогрессивный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2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Доля автомобильных дорог  местного значения, относящихся к улично-дорожной сети населенных пунктов, соответствующих нормативным требованиям к транспортно-эксплуатационным показателям, в общей протяженности автомобильных дорог,     в процентах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94,9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94,95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94,96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95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95,1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jc w:val="center"/>
            </w:pPr>
            <w:r>
              <w:t xml:space="preserve">95,2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66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345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626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658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71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2" w:type="dxa"/>
            <w:vAlign w:val="top"/>
            <w:textDirection w:val="lrTb"/>
            <w:noWrap w:val="false"/>
          </w:tcPr>
          <w:p>
            <w:pPr>
              <w:pStyle w:val="1190"/>
              <w:jc w:val="both"/>
              <w:widowControl w:val="off"/>
            </w:pPr>
            <w:r>
              <w:t xml:space="preserve">Густота автомобильных дорог местного значения с твердым покрытием, относящихся к улично-дорожной сети населен-ных пунктов, на 1000 кв. км территории, км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0,3328</w:t>
            </w:r>
            <w:r>
              <w:rPr>
                <w:sz w:val="21"/>
                <w:szCs w:val="2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0,3329</w:t>
            </w:r>
            <w:r>
              <w:rPr>
                <w:sz w:val="21"/>
                <w:szCs w:val="2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0,333</w:t>
            </w:r>
            <w:r>
              <w:rPr>
                <w:sz w:val="21"/>
                <w:szCs w:val="2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0,3331</w:t>
            </w:r>
            <w:r>
              <w:rPr>
                <w:sz w:val="21"/>
                <w:szCs w:val="2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0,3332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0,3333</w:t>
            </w:r>
            <w:r>
              <w:rPr>
                <w:sz w:val="20"/>
                <w:szCs w:val="20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66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345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626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658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71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2" w:type="dxa"/>
            <w:vAlign w:val="top"/>
            <w:textDirection w:val="lrTb"/>
            <w:noWrap w:val="false"/>
          </w:tcPr>
          <w:p>
            <w:pPr>
              <w:pStyle w:val="1190"/>
              <w:contextualSpacing/>
              <w:ind w:left="-20" w:right="0" w:firstLine="0"/>
              <w:jc w:val="both"/>
              <w:spacing w:before="0" w:after="0"/>
              <w:tabs>
                <w:tab w:val="left" w:pos="263" w:leader="none"/>
              </w:tabs>
            </w:pPr>
            <w:r>
              <w:t xml:space="preserve">Общая протяженность отремонтированных автодорог местного значения, относящихся к улично-дорожной сети населенных пунктов района, км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7,5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7,5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7,3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jc w:val="center"/>
            </w:pPr>
            <w:r>
              <w:t xml:space="preserve">7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66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345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626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658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71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2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Общая протяженность автомобильных дорог с твердым покрытием в населенных пунктах и микрорайонах массовой жилищной застройки района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2"/>
                <w:szCs w:val="22"/>
              </w:rPr>
              <w:t xml:space="preserve">20,717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2"/>
                <w:szCs w:val="22"/>
              </w:rPr>
              <w:t xml:space="preserve">21,717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2"/>
                <w:szCs w:val="22"/>
              </w:rPr>
              <w:t xml:space="preserve">22,717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2"/>
                <w:szCs w:val="22"/>
              </w:rPr>
              <w:t xml:space="preserve">23,717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2"/>
                <w:szCs w:val="22"/>
              </w:rPr>
              <w:t xml:space="preserve">24,32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</w:t>
            </w:r>
            <w:r>
              <w:rPr>
                <w:sz w:val="22"/>
                <w:szCs w:val="22"/>
              </w:rPr>
            </w:r>
            <w:r/>
          </w:p>
        </w:tc>
      </w:tr>
      <w:tr>
        <w:trPr>
          <w:trHeight w:val="51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66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345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626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658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71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3062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contextualSpacing/>
              <w:jc w:val="both"/>
              <w:spacing w:before="0" w:after="0"/>
              <w:tabs>
                <w:tab w:val="left" w:pos="263" w:leader="none"/>
              </w:tabs>
            </w:pPr>
            <w:r>
              <w:t xml:space="preserve">Общая протяженность построенных автодорог с твердым покрытием в населенных пунктах района, км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766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0"/>
                <w:szCs w:val="2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784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784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784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709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0,603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</w:tr>
      <w:tr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566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345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Основное       </w:t>
              <w:br w:type="textWrapping" w:clear="all"/>
              <w:t xml:space="preserve">мероприятие 1.1.</w:t>
            </w:r>
            <w:r/>
          </w:p>
          <w:p>
            <w:pPr>
              <w:pStyle w:val="1190"/>
              <w:widowControl w:val="off"/>
            </w:pPr>
            <w:r>
              <w:t xml:space="preserve">«Содержание и ремонт автомобильных дорог местного значения и искусственных сооружений на них, относящихся  к улично-дорожной сети населенных пунктов района»</w:t>
            </w:r>
            <w:r/>
          </w:p>
          <w:p>
            <w:pPr>
              <w:pStyle w:val="1190"/>
              <w:widowControl w:val="off"/>
            </w:pPr>
            <w:r>
              <w:rPr>
                <w:sz w:val="16"/>
                <w:szCs w:val="16"/>
              </w:rPr>
              <w:t xml:space="preserve">         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626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2021-2026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658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МКУ «Управление строительства, транспорта связи и ЖКХ» Чернянского района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71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прогрессивный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2" w:type="dxa"/>
            <w:vAlign w:val="top"/>
            <w:textDirection w:val="lrTb"/>
            <w:noWrap w:val="false"/>
          </w:tcPr>
          <w:p>
            <w:pPr>
              <w:pStyle w:val="1190"/>
              <w:contextualSpacing/>
              <w:ind w:left="-20" w:right="0" w:firstLine="0"/>
              <w:jc w:val="both"/>
              <w:spacing w:before="0" w:after="0"/>
              <w:tabs>
                <w:tab w:val="left" w:pos="263" w:leader="none"/>
              </w:tabs>
            </w:pPr>
            <w:r>
              <w:t xml:space="preserve">Протяженность автодорог и мостов местного значения, относящихся к улично-дорожной сети населенных пунктов района, подлежащих содержанию, км /пог.м.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6" w:type="dxa"/>
            <w:vAlign w:val="top"/>
            <w:textDirection w:val="lrTb"/>
            <w:noWrap w:val="false"/>
          </w:tcPr>
          <w:p>
            <w:pPr>
              <w:pStyle w:val="11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415,508 / 933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415,508 / 933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415,508 / 933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415,508 / 933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415,508 / 933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t xml:space="preserve">415,508 / 933</w:t>
            </w:r>
            <w:r>
              <w:rPr>
                <w:sz w:val="20"/>
                <w:szCs w:val="20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566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345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626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658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71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2" w:type="dxa"/>
            <w:vAlign w:val="top"/>
            <w:textDirection w:val="lrTb"/>
            <w:noWrap w:val="false"/>
          </w:tcPr>
          <w:p>
            <w:pPr>
              <w:pStyle w:val="1190"/>
              <w:contextualSpacing/>
              <w:ind w:left="-20" w:right="0" w:firstLine="0"/>
              <w:jc w:val="both"/>
              <w:spacing w:before="0" w:after="0"/>
              <w:tabs>
                <w:tab w:val="left" w:pos="263" w:leader="none"/>
              </w:tabs>
            </w:pPr>
            <w:r>
              <w:t xml:space="preserve">Протяженность автодорог и мостов местного значения, относящихся к улично-дорожной сети населенных пунктов района, подлежащих  ремонту,  км / пог.м.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2"/>
                <w:szCs w:val="22"/>
              </w:rPr>
              <w:t xml:space="preserve">8/ 472,5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2"/>
                <w:szCs w:val="22"/>
              </w:rPr>
              <w:t xml:space="preserve">7,5/ 472,5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2"/>
                <w:szCs w:val="22"/>
              </w:rPr>
              <w:t xml:space="preserve">7,5/ 472,5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2"/>
                <w:szCs w:val="22"/>
              </w:rPr>
              <w:t xml:space="preserve">8/ 472,5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sz w:val="22"/>
                <w:szCs w:val="22"/>
              </w:rPr>
              <w:t xml:space="preserve">7,3/ 472,5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7,3/472,5</w:t>
            </w:r>
            <w:r>
              <w:rPr>
                <w:sz w:val="22"/>
                <w:szCs w:val="22"/>
              </w:rPr>
            </w:r>
            <w:r/>
          </w:p>
        </w:tc>
      </w:tr>
      <w:tr>
        <w:trPr>
          <w:trHeight w:val="43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right w:w="75" w:type="dxa"/>
            </w:tcMar>
            <w:tcW w:w="56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 </w:t>
            </w:r>
            <w:r/>
          </w:p>
        </w:tc>
        <w:tc>
          <w:tcPr>
            <w:gridSpan w:val="10"/>
            <w:tcW w:w="14289" w:type="dxa"/>
            <w:vAlign w:val="top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W w:w="784" w:type="dxa"/>
            <w:vAlign w:val="top"/>
            <w:textDirection w:val="lrTb"/>
            <w:noWrap w:val="false"/>
          </w:tcPr>
          <w:p>
            <w:r/>
            <w:r/>
          </w:p>
        </w:tc>
      </w:tr>
      <w:tr>
        <w:trPr>
          <w:trHeight w:val="213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66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345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Основное       </w:t>
              <w:br w:type="textWrapping" w:clear="all"/>
              <w:t xml:space="preserve">мероприятие 1.2.</w:t>
            </w:r>
            <w:r/>
          </w:p>
          <w:p>
            <w:pPr>
              <w:pStyle w:val="1190"/>
              <w:widowControl w:val="off"/>
            </w:pPr>
            <w:r>
              <w:t xml:space="preserve">«Капитальный ремонт и ремонт автомобильных дорог местного значения, относящихся  к улично-дорожной сети населенных пунктов района»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62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658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МКУ «Управление строительства, транспорта связи и ЖКХ» Чернянского района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71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регрессивный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2" w:type="dxa"/>
            <w:vAlign w:val="top"/>
            <w:textDirection w:val="lrTb"/>
            <w:noWrap w:val="false"/>
          </w:tcPr>
          <w:p>
            <w:pPr>
              <w:pStyle w:val="1190"/>
              <w:jc w:val="both"/>
              <w:widowControl w:val="off"/>
            </w:pPr>
            <w:r>
              <w:t xml:space="preserve">Протяженность автодорог местного значения, относящихся  к улично-дорожной сети населенных пунктов района, подлежащих капитальному ремонту и ремонту, км</w:t>
            </w:r>
            <w:r/>
          </w:p>
          <w:p>
            <w:pPr>
              <w:pStyle w:val="1190"/>
              <w:jc w:val="both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7,5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7,5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7,3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jc w:val="center"/>
            </w:pPr>
            <w:r>
              <w:t xml:space="preserve">7</w:t>
            </w:r>
            <w:r/>
          </w:p>
        </w:tc>
      </w:tr>
      <w:tr>
        <w:trPr>
          <w:trHeight w:val="213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66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345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Основное мероприятие 1.3.</w:t>
            </w:r>
            <w:r/>
          </w:p>
          <w:p>
            <w:pPr>
              <w:pStyle w:val="1190"/>
              <w:widowControl w:val="off"/>
            </w:pPr>
            <w:r>
              <w:t xml:space="preserve">Субсидии на строительство (реконструкцию)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626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2021-2026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658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МКУ «Управление строительства, транспорта связи и ЖКХ» Чернянского района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71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прогрессивный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2" w:type="dxa"/>
            <w:vAlign w:val="top"/>
            <w:textDirection w:val="lrTb"/>
            <w:noWrap w:val="false"/>
          </w:tcPr>
          <w:p>
            <w:pPr>
              <w:pStyle w:val="1190"/>
              <w:jc w:val="both"/>
              <w:widowControl w:val="off"/>
            </w:pPr>
            <w:r>
              <w:t xml:space="preserve">Количество населенных пунктов, обеспеченных круглогодичной связью с сетью автодорог общего пользования по дорогам с твердым покрытием, штук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57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57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57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57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57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jc w:val="center"/>
            </w:pPr>
            <w:r>
              <w:t xml:space="preserve">57</w:t>
            </w:r>
            <w:r/>
          </w:p>
        </w:tc>
      </w:tr>
      <w:tr>
        <w:trPr>
          <w:trHeight w:val="282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66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345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626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658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71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2" w:type="dxa"/>
            <w:vAlign w:val="top"/>
            <w:textDirection w:val="lrTb"/>
            <w:noWrap w:val="false"/>
          </w:tcPr>
          <w:p>
            <w:pPr>
              <w:pStyle w:val="1190"/>
              <w:jc w:val="both"/>
              <w:widowControl w:val="off"/>
            </w:pPr>
            <w:r>
              <w:t xml:space="preserve">Протяженность построенных автомобильных дорог, соединяющих населенные пункты, км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0,603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5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Основное мероприятие 1.4 Установка новых дорожных знаков и строительство пешеходных тротуаров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2021-2026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8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МКУ «Управление строительства, транспорта связи и ЖКХ» Чернянского района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1" w:type="dxa"/>
            <w:vAlign w:val="top"/>
            <w:textDirection w:val="lrTb"/>
            <w:noWrap w:val="false"/>
          </w:tcPr>
          <w:p>
            <w:pPr>
              <w:pStyle w:val="1190"/>
              <w:contextualSpacing/>
              <w:ind w:left="-20" w:right="0" w:firstLine="0"/>
              <w:jc w:val="center"/>
              <w:spacing w:before="0" w:after="0"/>
              <w:tabs>
                <w:tab w:val="left" w:pos="263" w:leader="none"/>
              </w:tabs>
            </w:pPr>
            <w:r>
              <w:t xml:space="preserve">прогрессивный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2" w:type="dxa"/>
            <w:vAlign w:val="top"/>
            <w:textDirection w:val="lrTb"/>
            <w:noWrap w:val="false"/>
          </w:tcPr>
          <w:p>
            <w:pPr>
              <w:pStyle w:val="1190"/>
              <w:contextualSpacing/>
              <w:ind w:left="-20" w:right="0" w:firstLine="0"/>
              <w:jc w:val="both"/>
              <w:spacing w:before="0" w:after="0"/>
              <w:tabs>
                <w:tab w:val="left" w:pos="263" w:leader="none"/>
              </w:tabs>
            </w:pPr>
            <w:r>
              <w:t xml:space="preserve">Количество знаков, шт, общая площадь по-строенных тротуаров, кв.м.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40/200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40/200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40/200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40/200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40/200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40/200</w:t>
            </w:r>
            <w:r>
              <w:rPr>
                <w:sz w:val="20"/>
                <w:szCs w:val="20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5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rPr>
                <w:b/>
              </w:rPr>
              <w:t xml:space="preserve">Подпрограмма 2 </w:t>
            </w:r>
            <w:r/>
          </w:p>
          <w:p>
            <w:pPr>
              <w:pStyle w:val="1190"/>
              <w:widowControl w:val="off"/>
            </w:pPr>
            <w:r>
              <w:rPr>
                <w:b/>
              </w:rPr>
              <w:t xml:space="preserve">«Совершенствова-ние и развитие транспортной системы Чернянского района»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2021-2026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8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МКУ «Управление строительства, транспорта связи и ЖКХ» Чернянского района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1" w:type="dxa"/>
            <w:vAlign w:val="top"/>
            <w:textDirection w:val="lrTb"/>
            <w:noWrap w:val="false"/>
          </w:tcPr>
          <w:p>
            <w:pPr>
              <w:pStyle w:val="1190"/>
              <w:contextualSpacing/>
              <w:ind w:left="-20" w:right="0" w:firstLine="0"/>
              <w:jc w:val="center"/>
              <w:spacing w:before="0" w:after="0"/>
              <w:tabs>
                <w:tab w:val="left" w:pos="263" w:leader="none"/>
              </w:tabs>
            </w:pPr>
            <w:r>
              <w:t xml:space="preserve">прогрессивный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2" w:type="dxa"/>
            <w:vAlign w:val="top"/>
            <w:textDirection w:val="lrTb"/>
            <w:noWrap w:val="false"/>
          </w:tcPr>
          <w:p>
            <w:pPr>
              <w:pStyle w:val="1190"/>
              <w:contextualSpacing/>
              <w:ind w:left="-20" w:right="0" w:firstLine="0"/>
              <w:jc w:val="both"/>
              <w:spacing w:before="0" w:after="0"/>
              <w:tabs>
                <w:tab w:val="left" w:pos="263" w:leader="none"/>
              </w:tabs>
            </w:pPr>
            <w:r>
              <w:t xml:space="preserve">Пассажирооборот транспортом                   общего пользования, </w:t>
            </w:r>
            <w:r/>
          </w:p>
          <w:p>
            <w:pPr>
              <w:pStyle w:val="1190"/>
              <w:contextualSpacing/>
              <w:ind w:left="-20" w:right="0" w:firstLine="0"/>
              <w:jc w:val="both"/>
              <w:spacing w:before="0" w:after="0"/>
              <w:tabs>
                <w:tab w:val="left" w:pos="263" w:leader="none"/>
              </w:tabs>
            </w:pPr>
            <w:r>
              <w:t xml:space="preserve">млн. пасс.-км</w:t>
            </w:r>
            <w:r/>
          </w:p>
          <w:p>
            <w:pPr>
              <w:pStyle w:val="1190"/>
              <w:contextualSpacing/>
              <w:ind w:left="-20" w:right="0" w:firstLine="0"/>
              <w:jc w:val="both"/>
              <w:spacing w:before="0" w:after="0"/>
              <w:tabs>
                <w:tab w:val="left" w:pos="263" w:leader="none"/>
              </w:tabs>
              <w:rPr>
                <w:lang w:eastAsia="en-US"/>
              </w:rPr>
            </w:pPr>
            <w:r>
              <w:rPr>
                <w:lang w:eastAsia="en-U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11,3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11,4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11,5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11,6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11,7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11,8</w:t>
            </w:r>
            <w:r>
              <w:rPr>
                <w:sz w:val="22"/>
                <w:szCs w:val="22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  <w:p>
            <w:pPr>
              <w:pStyle w:val="119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  <w:p>
            <w:pPr>
              <w:pStyle w:val="119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  <w:p>
            <w:pPr>
              <w:pStyle w:val="119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5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Основное       </w:t>
              <w:br w:type="textWrapping" w:clear="all"/>
              <w:t xml:space="preserve">мероприятие 2.1.</w:t>
            </w:r>
            <w:r/>
          </w:p>
          <w:p>
            <w:pPr>
              <w:pStyle w:val="1190"/>
              <w:widowControl w:val="off"/>
            </w:pPr>
            <w:r>
              <w:t xml:space="preserve">Средства на проезд студентов, аспирантов и учащихся учебных заведений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2021-2026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8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МКУ «Управление строительства, транспорта связи и ЖКХ» Чернянского района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1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регрессивный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2" w:type="dxa"/>
            <w:vAlign w:val="top"/>
            <w:textDirection w:val="lrTb"/>
            <w:noWrap w:val="false"/>
          </w:tcPr>
          <w:p>
            <w:pPr>
              <w:pStyle w:val="1190"/>
              <w:jc w:val="both"/>
              <w:widowControl w:val="off"/>
            </w:pPr>
            <w:r>
              <w:t xml:space="preserve">Количество межмуниципальных пригородных маршрутов, штук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jc w:val="center"/>
            </w:pPr>
            <w:r>
              <w:t xml:space="preserve">1</w:t>
            </w:r>
            <w:r/>
          </w:p>
        </w:tc>
      </w:tr>
      <w:tr>
        <w:trPr>
          <w:trHeight w:val="28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5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Основное       </w:t>
              <w:br w:type="textWrapping" w:clear="all"/>
              <w:t xml:space="preserve">мероприятие 2.2.</w:t>
            </w:r>
            <w:r/>
          </w:p>
          <w:p>
            <w:pPr>
              <w:pStyle w:val="1190"/>
              <w:widowControl w:val="off"/>
            </w:pPr>
            <w:r>
              <w:t xml:space="preserve">Средства на покрытие убытков  по организации транспортного обслуживания  на внутримуниципаль-ном пригородном сообщении     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2021-2026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8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МКУ «Управление строительства, транспорта связи и ЖКХ» Чернянского района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1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прогрессивный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2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Количество пригородных внутримуниципальных маршрутов, штук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16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16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16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15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t xml:space="preserve">15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jc w:val="center"/>
            </w:pPr>
            <w:r>
              <w:t xml:space="preserve">15</w:t>
            </w:r>
            <w:r/>
          </w:p>
        </w:tc>
      </w:tr>
    </w:tbl>
    <w:p>
      <w:pPr>
        <w:pStyle w:val="1190"/>
        <w:sectPr>
          <w:headerReference w:type="default" r:id="rId11"/>
          <w:headerReference w:type="even" r:id="rId12"/>
          <w:headerReference w:type="first" r:id="rId13"/>
          <w:footerReference w:type="default" r:id="rId23"/>
          <w:footerReference w:type="first" r:id="rId24"/>
          <w:footnotePr>
            <w:numFmt w:val="decimal"/>
            <w:numRestart w:val="continuous"/>
          </w:footnotePr>
          <w:endnotePr>
            <w:numFmt w:val="lowerRoman"/>
          </w:endnotePr>
          <w:type w:val="nextPage"/>
          <w:pgSz w:w="16838" w:h="11906" w:orient="landscape"/>
          <w:pgMar w:top="284" w:right="822" w:bottom="737" w:left="1304" w:header="0" w:footer="0" w:gutter="0"/>
          <w:cols w:num="1" w:sep="0" w:space="1701" w:equalWidth="1"/>
          <w:docGrid w:linePitch="360"/>
          <w:titlePg/>
        </w:sectPr>
      </w:pPr>
      <w:r/>
      <w:r/>
    </w:p>
    <w:p>
      <w:pPr>
        <w:pStyle w:val="1190"/>
        <w:jc w:val="right"/>
      </w:pPr>
      <w:r>
        <w:rPr>
          <w:b/>
          <w:sz w:val="28"/>
          <w:szCs w:val="28"/>
        </w:rPr>
        <w:t xml:space="preserve">                                                                                              </w:t>
      </w:r>
      <w:r>
        <w:rPr>
          <w:b/>
          <w:sz w:val="28"/>
          <w:szCs w:val="28"/>
        </w:rPr>
        <w:t xml:space="preserve">Приложение № 2                     к муниципальной программе                                                                         Чернянского района                                                                        </w:t>
      </w:r>
      <w:r>
        <w:rPr>
          <w:b/>
          <w:sz w:val="28"/>
          <w:szCs w:val="28"/>
        </w:rPr>
        <w:t xml:space="preserve">            «Совершенствование и развитие                                                                             транспортной системы и дорожной сети                                                              Чернянского района Белгородской области»</w:t>
      </w:r>
      <w:r/>
    </w:p>
    <w:p>
      <w:pPr>
        <w:pStyle w:val="119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1228"/>
        <w:jc w:val="center"/>
        <w:spacing w:before="0" w:after="184" w:line="240" w:lineRule="auto"/>
        <w:shd w:val="clear" w:color="auto" w:fill="auto"/>
      </w:pPr>
      <w:r>
        <w:t xml:space="preserve">Перечень нормативно-правовых актов Чернянского района, принятие или изменение которых необходимо для реализации муниципальной программы</w:t>
      </w:r>
      <w:r/>
    </w:p>
    <w:tbl>
      <w:tblPr>
        <w:tblW w:w="0" w:type="auto"/>
        <w:tblInd w:w="-594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594"/>
        <w:gridCol w:w="2412"/>
        <w:gridCol w:w="35"/>
        <w:gridCol w:w="3790"/>
        <w:gridCol w:w="2268"/>
        <w:gridCol w:w="1877"/>
      </w:tblGrid>
      <w:tr>
        <w:trPr>
          <w:trHeight w:val="845" w:hRule="exact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</w:tcBorders>
            <w:tcW w:w="59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</w:rPr>
              <w:t xml:space="preserve">№ </w:t>
            </w:r>
            <w:r>
              <w:rPr>
                <w:b/>
              </w:rPr>
              <w:t xml:space="preserve">п/п</w:t>
            </w:r>
            <w:r/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</w:tcBorders>
            <w:tcW w:w="2447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</w:rPr>
              <w:t xml:space="preserve">Вид нормативного правового акта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</w:tcBorders>
            <w:tcW w:w="379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</w:rPr>
              <w:t xml:space="preserve">Основные положения (наименование) нормативного правового акта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</w:rPr>
              <w:t xml:space="preserve">Ответственный исполнитель и соисполнители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77" w:type="dxa"/>
            <w:vAlign w:val="center"/>
            <w:textDirection w:val="lrTb"/>
            <w:noWrap w:val="false"/>
          </w:tcPr>
          <w:p>
            <w:pPr>
              <w:pStyle w:val="1190"/>
              <w:contextualSpacing/>
              <w:jc w:val="center"/>
              <w:spacing w:before="0" w:after="0"/>
            </w:pPr>
            <w:r>
              <w:rPr>
                <w:b/>
              </w:rPr>
              <w:t xml:space="preserve">Ожидаемые </w:t>
            </w:r>
            <w:r/>
          </w:p>
          <w:p>
            <w:pPr>
              <w:pStyle w:val="1190"/>
              <w:contextualSpacing/>
              <w:jc w:val="center"/>
              <w:spacing w:before="0" w:after="0"/>
            </w:pPr>
            <w:r>
              <w:rPr>
                <w:b/>
              </w:rPr>
              <w:t xml:space="preserve">сроки принятия</w:t>
            </w:r>
            <w:r/>
          </w:p>
        </w:tc>
      </w:tr>
      <w:tr>
        <w:trPr>
          <w:trHeight w:val="283" w:hRule="exact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</w:tcBorders>
            <w:tcW w:w="59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</w:rPr>
              <w:t xml:space="preserve">1</w:t>
            </w:r>
            <w:r/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</w:tcBorders>
            <w:tcW w:w="2447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</w:rPr>
              <w:t xml:space="preserve">2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</w:tcBorders>
            <w:tcW w:w="379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</w:rPr>
              <w:t xml:space="preserve">3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</w:rPr>
              <w:t xml:space="preserve">4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77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</w:rPr>
              <w:t xml:space="preserve">5</w:t>
            </w:r>
            <w:r/>
          </w:p>
        </w:tc>
      </w:tr>
      <w:tr>
        <w:trPr>
          <w:trHeight w:val="614" w:hRule="exact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</w:tcBorders>
            <w:tcW w:w="59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</w:rPr>
              <w:t xml:space="preserve">1</w:t>
            </w:r>
            <w:r/>
          </w:p>
        </w:tc>
        <w:tc>
          <w:tcPr>
            <w:gridSpan w:val="5"/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0382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</w:rPr>
              <w:t xml:space="preserve">Муниципальная программа «Совершенствование и развитие   транспортной системы                                                        и дорожной сети  Чернянского района Белгородской области»</w:t>
            </w:r>
            <w:r/>
          </w:p>
        </w:tc>
      </w:tr>
      <w:tr>
        <w:trPr>
          <w:trHeight w:val="3073" w:hRule="exact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</w:tcBorders>
            <w:tcW w:w="59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rPr>
                <w:b/>
              </w:rPr>
            </w:pPr>
            <w:r>
              <w:rPr>
                <w:b/>
              </w:rPr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412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Постановления администрации муниципального района «Чернянский район» Белгородской области</w:t>
            </w:r>
            <w:r/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3825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Внесение изменений в Постановление администрации муниципального района «Чернянский район» Белгородской области «Об утверждении муниципальной программы                                                                        Чернянского района             </w:t>
            </w:r>
            <w:r>
              <w:t xml:space="preserve">                                                                       «Совершенствование и развитие                                                                             транспортной системы и дорожной сети   Чернянского района Белгородской области 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МКУ «Управление строительства, транспорта связи и ЖКХ» Чернянского района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77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2015-2026 годы                     (по мере необходимости)</w:t>
            </w:r>
            <w:r/>
          </w:p>
        </w:tc>
      </w:tr>
      <w:tr>
        <w:trPr>
          <w:trHeight w:val="288" w:hRule="exact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</w:tcBorders>
            <w:tcW w:w="59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</w:rPr>
              <w:t xml:space="preserve">1</w:t>
            </w:r>
            <w:r/>
          </w:p>
        </w:tc>
        <w:tc>
          <w:tcPr>
            <w:gridSpan w:val="5"/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0382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</w:rPr>
              <w:t xml:space="preserve">Подпрограмма 1. «Совершенствование и развитие дорожной сети»</w:t>
            </w:r>
            <w:r/>
          </w:p>
        </w:tc>
      </w:tr>
      <w:tr>
        <w:trPr>
          <w:trHeight w:val="1455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9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1.2</w:t>
            </w:r>
            <w:r/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47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Решение Муниципального совета Чернянского района 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79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Внесение изменений в решение Муниципального совета Чернянского района «О муниципальном дорожном фонде муниципального района «Чернянский район Белгородской области»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МКУ «Управление строительства, транспорта связи и ЖКХ» Чернянского района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7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2015-202</w:t>
            </w:r>
            <w:r>
              <w:t xml:space="preserve">6 годы           (по мере необходимости)</w:t>
            </w:r>
            <w:r/>
          </w:p>
        </w:tc>
      </w:tr>
      <w:tr>
        <w:trPr>
          <w:trHeight w:val="213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2</w:t>
            </w:r>
            <w:r/>
          </w:p>
        </w:tc>
        <w:tc>
          <w:tcPr>
            <w:gridSpan w:val="5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82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</w:rPr>
              <w:t xml:space="preserve">Подпрограмма 2. «Совершенствование и развитие транспортной системы»</w:t>
            </w:r>
            <w:r/>
          </w:p>
        </w:tc>
      </w:tr>
      <w:tr>
        <w:trPr>
          <w:trHeight w:val="508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rPr>
                <w:b/>
              </w:rPr>
            </w:pPr>
            <w:r>
              <w:rPr>
                <w:b/>
              </w:rPr>
            </w:r>
            <w:r/>
          </w:p>
        </w:tc>
        <w:tc>
          <w:tcPr>
            <w:gridSpan w:val="5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82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</w:rPr>
              <w:t xml:space="preserve">Основное мероприятие 2.1. Субвенции на организацию транспортного обслуживания населения</w:t>
            </w:r>
            <w:r/>
          </w:p>
          <w:p>
            <w:pPr>
              <w:pStyle w:val="1190"/>
              <w:jc w:val="center"/>
            </w:pP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в пригородном межмуниципальном сообщении</w:t>
            </w:r>
            <w:r/>
          </w:p>
        </w:tc>
      </w:tr>
      <w:tr>
        <w:trPr>
          <w:trHeight w:val="1092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2.2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2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Постановления администрации муниципального района «Чернянский район» Белгородской области</w:t>
            </w:r>
            <w:r/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5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Внесение изменений в  акты, регулирующие организацию транспортного обслуживания населения в пригородном межмуниципальном сообщении</w:t>
            </w:r>
            <w:r/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МКУ «Управление строительства, транспорта связи и ЖКХ» Чернянского района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7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2015-202</w:t>
            </w:r>
            <w:r>
              <w:t xml:space="preserve">6 годы  (по мере необходимости)</w:t>
            </w:r>
            <w:r/>
          </w:p>
        </w:tc>
      </w:tr>
    </w:tbl>
    <w:p>
      <w:pPr>
        <w:pStyle w:val="1234"/>
        <w:numPr>
          <w:ilvl w:val="0"/>
          <w:numId w:val="0"/>
        </w:numPr>
        <w:ind w:left="0" w:right="0" w:firstLine="720"/>
        <w:rPr>
          <w:rFonts w:ascii="Times New Roman" w:hAnsi="Times New Roman" w:cs="Times New Roman"/>
          <w:sz w:val="28"/>
          <w:szCs w:val="28"/>
        </w:rPr>
        <w:outlineLvl w:val="2"/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1234"/>
        <w:numPr>
          <w:ilvl w:val="0"/>
          <w:numId w:val="0"/>
        </w:numPr>
        <w:ind w:left="0" w:right="0" w:firstLine="720"/>
        <w:jc w:val="right"/>
        <w:rPr>
          <w:rFonts w:ascii="Times New Roman" w:hAnsi="Times New Roman" w:cs="Times New Roman"/>
          <w:sz w:val="28"/>
          <w:szCs w:val="28"/>
        </w:rPr>
        <w:outlineLvl w:val="2"/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1190"/>
        <w:sectPr>
          <w:headerReference w:type="default" r:id="rId14"/>
          <w:headerReference w:type="even" r:id="rId15"/>
          <w:headerReference w:type="first" r:id="rId16"/>
          <w:footerReference w:type="default" r:id="rId25"/>
          <w:footerReference w:type="even" r:id="rId26"/>
          <w:footerReference w:type="first" r:id="rId27"/>
          <w:footnotePr>
            <w:numFmt w:val="decimal"/>
            <w:numRestart w:val="continuous"/>
          </w:footnotePr>
          <w:endnotePr>
            <w:numFmt w:val="lowerRoman"/>
          </w:endnotePr>
          <w:type w:val="nextPage"/>
          <w:pgSz w:w="11906" w:h="16838" w:orient="portrait"/>
          <w:pgMar w:top="480" w:right="851" w:bottom="1440" w:left="1134" w:header="0" w:footer="0" w:gutter="0"/>
          <w:cols w:num="1" w:sep="0" w:space="1701" w:equalWidth="1"/>
          <w:docGrid w:linePitch="360"/>
        </w:sectPr>
      </w:pPr>
      <w:r/>
      <w:r/>
    </w:p>
    <w:p>
      <w:pPr>
        <w:pStyle w:val="1234"/>
        <w:numPr>
          <w:ilvl w:val="0"/>
          <w:numId w:val="0"/>
        </w:numPr>
        <w:ind w:left="0" w:right="-23" w:firstLine="720"/>
        <w:jc w:val="right"/>
        <w:outlineLvl w:val="2"/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Приложение № 3</w:t>
      </w:r>
      <w:r/>
    </w:p>
    <w:p>
      <w:pPr>
        <w:pStyle w:val="1190"/>
        <w:jc w:val="right"/>
        <w:widowControl w:val="off"/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r>
        <w:rPr>
          <w:b/>
          <w:sz w:val="28"/>
          <w:szCs w:val="28"/>
        </w:rPr>
        <w:t xml:space="preserve">к муниципальной программе </w:t>
      </w:r>
      <w:r/>
    </w:p>
    <w:p>
      <w:pPr>
        <w:pStyle w:val="1190"/>
        <w:jc w:val="right"/>
        <w:widowControl w:val="off"/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r>
        <w:rPr>
          <w:b/>
          <w:sz w:val="28"/>
          <w:szCs w:val="28"/>
        </w:rPr>
        <w:t xml:space="preserve">Чернянского района</w:t>
      </w:r>
      <w:r/>
    </w:p>
    <w:p>
      <w:pPr>
        <w:pStyle w:val="1190"/>
        <w:jc w:val="right"/>
        <w:widowControl w:val="off"/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>
        <w:rPr>
          <w:b/>
          <w:sz w:val="28"/>
          <w:szCs w:val="28"/>
        </w:rPr>
        <w:t xml:space="preserve">«Совершенствование и развитие </w:t>
      </w:r>
      <w:r/>
    </w:p>
    <w:p>
      <w:pPr>
        <w:pStyle w:val="1190"/>
        <w:jc w:val="right"/>
        <w:widowControl w:val="off"/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>
        <w:rPr>
          <w:b/>
          <w:sz w:val="28"/>
          <w:szCs w:val="28"/>
        </w:rPr>
        <w:t xml:space="preserve">транспортной системы и</w:t>
      </w:r>
      <w:r/>
    </w:p>
    <w:p>
      <w:pPr>
        <w:pStyle w:val="1190"/>
        <w:jc w:val="right"/>
        <w:widowControl w:val="off"/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>
        <w:rPr>
          <w:b/>
          <w:sz w:val="28"/>
          <w:szCs w:val="28"/>
        </w:rPr>
        <w:t xml:space="preserve">дорожной сети Чернянского района </w:t>
      </w:r>
      <w:r/>
    </w:p>
    <w:p>
      <w:pPr>
        <w:pStyle w:val="1190"/>
        <w:jc w:val="right"/>
        <w:widowControl w:val="off"/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  <w:r>
        <w:rPr>
          <w:b/>
          <w:sz w:val="28"/>
          <w:szCs w:val="28"/>
        </w:rPr>
        <w:t xml:space="preserve">Белгородской области» </w:t>
      </w:r>
      <w:r/>
    </w:p>
    <w:p>
      <w:pPr>
        <w:pStyle w:val="1234"/>
        <w:numPr>
          <w:ilvl w:val="0"/>
          <w:numId w:val="0"/>
        </w:numPr>
        <w:ind w:left="0" w:right="-23" w:firstLine="0"/>
        <w:jc w:val="left"/>
        <w:outlineLvl w:val="2"/>
      </w:pPr>
      <w:r>
        <w:rPr>
          <w:rFonts w:eastAsia="Arial"/>
          <w:b/>
        </w:rPr>
        <w:t xml:space="preserve">    </w:t>
      </w:r>
      <w:r/>
    </w:p>
    <w:p>
      <w:pPr>
        <w:pStyle w:val="1234"/>
        <w:ind w:left="0" w:right="-23" w:firstLine="72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Ресурсное обеспечение и прогнозная (справочная) оценка расходов на реализацию </w:t>
      </w:r>
      <w:r/>
    </w:p>
    <w:p>
      <w:pPr>
        <w:pStyle w:val="1234"/>
        <w:ind w:left="0" w:right="-23" w:firstLine="72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основных мероприятий муниципальной программы из различных источников финансирования на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I</w:t>
      </w:r>
      <w:r>
        <w:rPr>
          <w:rFonts w:ascii="Times New Roman" w:hAnsi="Times New Roman" w:cs="Times New Roman"/>
          <w:b/>
          <w:sz w:val="28"/>
          <w:szCs w:val="28"/>
        </w:rPr>
        <w:t xml:space="preserve"> этап реализации</w:t>
      </w:r>
      <w:r/>
    </w:p>
    <w:p>
      <w:pPr>
        <w:pStyle w:val="1234"/>
        <w:ind w:left="0" w:right="-23" w:firstLine="720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</w:r>
      <w:r/>
    </w:p>
    <w:tbl>
      <w:tblPr>
        <w:tblW w:w="0" w:type="auto"/>
        <w:tblInd w:w="-142" w:type="dxa"/>
        <w:tblLayout w:type="fixed"/>
        <w:tblCellMar>
          <w:left w:w="30" w:type="dxa"/>
          <w:top w:w="0" w:type="dxa"/>
          <w:right w:w="30" w:type="dxa"/>
          <w:bottom w:w="0" w:type="dxa"/>
        </w:tblCellMar>
        <w:tblLook w:val="04A0" w:firstRow="1" w:lastRow="0" w:firstColumn="1" w:lastColumn="0" w:noHBand="0" w:noVBand="1"/>
      </w:tblPr>
      <w:tblGrid>
        <w:gridCol w:w="1869"/>
        <w:gridCol w:w="2444"/>
        <w:gridCol w:w="2410"/>
        <w:gridCol w:w="1488"/>
        <w:gridCol w:w="1062"/>
        <w:gridCol w:w="38"/>
        <w:gridCol w:w="990"/>
        <w:gridCol w:w="994"/>
        <w:gridCol w:w="993"/>
        <w:gridCol w:w="993"/>
        <w:gridCol w:w="1093"/>
        <w:gridCol w:w="1093"/>
      </w:tblGrid>
      <w:tr>
        <w:trPr>
          <w:cantSplit/>
          <w:trHeight w:val="6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9" w:type="dxa"/>
            <w:vAlign w:val="center"/>
            <w:vMerge w:val="restart"/>
            <w:textDirection w:val="lrTb"/>
            <w:noWrap w:val="false"/>
          </w:tcPr>
          <w:p>
            <w:pPr>
              <w:pStyle w:val="1190"/>
              <w:ind w:left="0" w:right="-30" w:firstLine="0"/>
              <w:jc w:val="center"/>
            </w:pPr>
            <w:r>
              <w:rPr>
                <w:color w:val="000000"/>
              </w:rPr>
              <w:t xml:space="preserve">Статус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4" w:type="dxa"/>
            <w:vAlign w:val="center"/>
            <w:vMerge w:val="restart"/>
            <w:textDirection w:val="lrTb"/>
            <w:noWrap w:val="false"/>
          </w:tcPr>
          <w:p>
            <w:pPr>
              <w:pStyle w:val="1190"/>
              <w:ind w:left="0" w:right="-30" w:firstLine="0"/>
              <w:jc w:val="center"/>
            </w:pPr>
            <w:r>
              <w:rPr>
                <w:color w:val="000000"/>
              </w:rPr>
              <w:t xml:space="preserve">Наименование муниципальной программы, подпрограммы муниципальной программы,</w:t>
            </w:r>
            <w:r/>
          </w:p>
          <w:p>
            <w:pPr>
              <w:pStyle w:val="1190"/>
              <w:ind w:left="0" w:right="-30" w:firstLine="0"/>
              <w:jc w:val="center"/>
            </w:pPr>
            <w:r>
              <w:rPr>
                <w:color w:val="000000"/>
              </w:rPr>
              <w:t xml:space="preserve">основного</w:t>
            </w:r>
            <w:r/>
          </w:p>
          <w:p>
            <w:pPr>
              <w:pStyle w:val="1190"/>
              <w:ind w:left="0" w:right="-30" w:firstLine="0"/>
              <w:jc w:val="center"/>
            </w:pPr>
            <w:r>
              <w:rPr>
                <w:color w:val="000000"/>
              </w:rPr>
              <w:t xml:space="preserve">мероприятия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vMerge w:val="restart"/>
            <w:textDirection w:val="lrTb"/>
            <w:noWrap w:val="false"/>
          </w:tcPr>
          <w:p>
            <w:pPr>
              <w:pStyle w:val="1190"/>
              <w:ind w:left="0" w:right="-30" w:firstLine="0"/>
              <w:jc w:val="center"/>
            </w:pPr>
            <w:r>
              <w:rPr>
                <w:color w:val="000000"/>
              </w:rPr>
              <w:t xml:space="preserve">Источник финансирования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8" w:type="dxa"/>
            <w:vAlign w:val="center"/>
            <w:vMerge w:val="restart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Общий объем финансирования, тыс. рублей</w:t>
            </w:r>
            <w:r/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6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Расходы (тыс.рублей), годы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vMerge w:val="restart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Итого на </w:t>
            </w:r>
            <w:r>
              <w:rPr>
                <w:sz w:val="26"/>
                <w:szCs w:val="26"/>
                <w:lang w:val="en-US"/>
              </w:rPr>
              <w:t xml:space="preserve">I</w:t>
            </w:r>
            <w:r>
              <w:t xml:space="preserve"> этап (2015-2020 годы)</w:t>
            </w:r>
            <w:r/>
          </w:p>
        </w:tc>
      </w:tr>
      <w:tr>
        <w:trPr>
          <w:cantSplit/>
          <w:trHeight w:val="64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9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4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8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2015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2016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2017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2018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2019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ind w:left="-455" w:right="0" w:firstLine="529"/>
              <w:jc w:val="center"/>
            </w:pPr>
            <w:r>
              <w:rPr>
                <w:color w:val="000000"/>
              </w:rPr>
              <w:t xml:space="preserve">2020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</w:tr>
      <w:tr>
        <w:trPr>
          <w:cantSplit/>
          <w:trHeight w:val="2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9" w:type="dxa"/>
            <w:vAlign w:val="center"/>
            <w:textDirection w:val="lrTb"/>
            <w:noWrap w:val="false"/>
          </w:tcPr>
          <w:p>
            <w:pPr>
              <w:pStyle w:val="1190"/>
              <w:ind w:left="0" w:right="-30" w:firstLine="720"/>
              <w:jc w:val="center"/>
            </w:pPr>
            <w:r>
              <w:rPr>
                <w:color w:val="000000"/>
                <w:sz w:val="20"/>
                <w:szCs w:val="20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4" w:type="dxa"/>
            <w:vAlign w:val="center"/>
            <w:textDirection w:val="lrTb"/>
            <w:noWrap w:val="false"/>
          </w:tcPr>
          <w:p>
            <w:pPr>
              <w:pStyle w:val="1190"/>
              <w:ind w:left="0" w:right="-30" w:firstLine="720"/>
              <w:jc w:val="center"/>
            </w:pPr>
            <w:r>
              <w:rPr>
                <w:color w:val="000000"/>
                <w:sz w:val="20"/>
                <w:szCs w:val="20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1190"/>
              <w:ind w:left="0" w:right="-30" w:firstLine="0"/>
              <w:jc w:val="center"/>
            </w:pPr>
            <w:r>
              <w:rPr>
                <w:color w:val="000000"/>
                <w:sz w:val="20"/>
                <w:szCs w:val="20"/>
              </w:rP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  <w:sz w:val="20"/>
                <w:szCs w:val="20"/>
              </w:rPr>
              <w:t xml:space="preserve">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  <w:sz w:val="20"/>
                <w:szCs w:val="20"/>
              </w:rPr>
              <w:t xml:space="preserve">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  <w:sz w:val="20"/>
                <w:szCs w:val="20"/>
              </w:rPr>
              <w:t xml:space="preserve">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  <w:sz w:val="20"/>
                <w:szCs w:val="20"/>
              </w:rPr>
              <w:t xml:space="preserve">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  <w:sz w:val="20"/>
                <w:szCs w:val="20"/>
              </w:rPr>
              <w:t xml:space="preserve">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  <w:sz w:val="20"/>
                <w:szCs w:val="20"/>
              </w:rPr>
              <w:t xml:space="preserve">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/>
          </w:p>
        </w:tc>
      </w:tr>
      <w:tr>
        <w:trPr>
          <w:cantSplit/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9" w:type="dxa"/>
            <w:vAlign w:val="center"/>
            <w:vMerge w:val="restart"/>
            <w:textDirection w:val="lrTb"/>
            <w:noWrap w:val="false"/>
          </w:tcPr>
          <w:p>
            <w:pPr>
              <w:pStyle w:val="1190"/>
              <w:ind w:left="0" w:right="-30" w:firstLine="0"/>
              <w:jc w:val="center"/>
            </w:pPr>
            <w:r>
              <w:rPr>
                <w:b/>
                <w:color w:val="000000"/>
              </w:rPr>
              <w:t xml:space="preserve">Муниципальная программа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4" w:type="dxa"/>
            <w:vAlign w:val="center"/>
            <w:vMerge w:val="restart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b/>
              </w:rPr>
              <w:t xml:space="preserve">Муниципальная программа «Совершенствование и развитие</w:t>
            </w:r>
            <w:r/>
          </w:p>
          <w:p>
            <w:pPr>
              <w:pStyle w:val="1190"/>
              <w:jc w:val="center"/>
              <w:widowControl w:val="off"/>
            </w:pPr>
            <w:r>
              <w:rPr>
                <w:b/>
              </w:rPr>
              <w:t xml:space="preserve">транспортной системы и дорожной сети Чернянского района Белгородской области»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1190"/>
              <w:ind w:left="0" w:right="-30" w:firstLine="0"/>
              <w:jc w:val="center"/>
            </w:pPr>
            <w:r>
              <w:rPr>
                <w:b/>
                <w:color w:val="000000"/>
              </w:rPr>
              <w:t xml:space="preserve">Всего: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8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 xml:space="preserve">831 441,4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22 362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</w:rPr>
              <w:t xml:space="preserve">24 991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</w:rPr>
              <w:t xml:space="preserve">25 280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</w:rPr>
              <w:t xml:space="preserve">44 192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</w:rPr>
              <w:t xml:space="preserve">151 341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</w:rPr>
              <w:t xml:space="preserve">109 705,5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377 871,5</w:t>
            </w:r>
            <w:r/>
          </w:p>
        </w:tc>
      </w:tr>
      <w:tr>
        <w:trPr>
          <w:cantSplit/>
          <w:trHeight w:val="40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9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4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местный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8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358 457,6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22 362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24 991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25 280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28 714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34 541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40 671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176 559</w:t>
            </w:r>
            <w:r/>
          </w:p>
        </w:tc>
      </w:tr>
      <w:tr>
        <w:trPr>
          <w:cantSplit/>
          <w:trHeight w:val="46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9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4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областной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472 983,8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15 478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116 800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69 034,5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201 312,5</w:t>
            </w:r>
            <w:r/>
          </w:p>
        </w:tc>
      </w:tr>
      <w:tr>
        <w:trPr>
          <w:cantSplit/>
          <w:trHeight w:val="49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9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4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федеральный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8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</w:tr>
      <w:tr>
        <w:trPr>
          <w:cantSplit/>
          <w:trHeight w:val="51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9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4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иные источники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8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</w:tr>
      <w:tr>
        <w:trPr>
          <w:cantSplit/>
          <w:trHeight w:val="3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9" w:type="dxa"/>
            <w:vAlign w:val="center"/>
            <w:vMerge w:val="restart"/>
            <w:textDirection w:val="lrTb"/>
            <w:noWrap w:val="false"/>
          </w:tcPr>
          <w:p>
            <w:pPr>
              <w:pStyle w:val="1190"/>
              <w:ind w:left="0" w:right="-30" w:firstLine="0"/>
              <w:jc w:val="center"/>
            </w:pPr>
            <w:r>
              <w:rPr>
                <w:b/>
                <w:color w:val="000000"/>
              </w:rPr>
              <w:t xml:space="preserve">Подпрограмма 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4" w:type="dxa"/>
            <w:vAlign w:val="center"/>
            <w:vMerge w:val="restart"/>
            <w:textDirection w:val="lrTb"/>
            <w:noWrap w:val="false"/>
          </w:tcPr>
          <w:p>
            <w:pPr>
              <w:pStyle w:val="1190"/>
              <w:ind w:left="0" w:right="-30" w:firstLine="0"/>
              <w:jc w:val="center"/>
            </w:pPr>
            <w:r>
              <w:rPr>
                <w:b/>
                <w:color w:val="000000"/>
              </w:rPr>
              <w:t xml:space="preserve">«Совершенствование и развитие дорожной сети»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1190"/>
              <w:ind w:left="0" w:right="-30" w:firstLine="0"/>
              <w:jc w:val="center"/>
            </w:pPr>
            <w:r>
              <w:rPr>
                <w:b/>
                <w:color w:val="000000"/>
              </w:rPr>
              <w:t xml:space="preserve">Всего: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8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  <w:rPr>
                <w:highlight w:val="yellow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  <w:highlight w:val="none"/>
              </w:rPr>
              <w:t xml:space="preserve">711 799,6</w:t>
            </w:r>
            <w:r>
              <w:rPr>
                <w:highlight w:val="yellow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15 815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</w:rPr>
              <w:t xml:space="preserve">18 827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</w:rPr>
              <w:t xml:space="preserve">18 415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</w:rPr>
              <w:t xml:space="preserve">35 551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</w:rPr>
              <w:t xml:space="preserve">139 253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</w:rPr>
              <w:t xml:space="preserve">97 950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325 811</w:t>
            </w:r>
            <w:r/>
          </w:p>
        </w:tc>
      </w:tr>
      <w:tr>
        <w:trPr>
          <w:cantSplit/>
          <w:trHeight w:val="31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9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4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местный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8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  <w:rPr>
                <w:highlight w:val="yellow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none"/>
              </w:rPr>
              <w:t xml:space="preserve">239 650,2</w:t>
            </w:r>
            <w:r>
              <w:rPr>
                <w:highlight w:val="yellow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15 815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18 827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18 415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20 073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22 453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28 969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124 552</w:t>
            </w:r>
            <w:r/>
          </w:p>
        </w:tc>
      </w:tr>
      <w:tr>
        <w:trPr>
          <w:cantSplit/>
          <w:trHeight w:val="30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9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4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областной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  <w:rPr>
                <w:highlight w:val="yellow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none"/>
              </w:rPr>
              <w:t xml:space="preserve">472 149.4</w:t>
            </w:r>
            <w:r>
              <w:rPr>
                <w:highlight w:val="yellow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15 478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116 800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68 981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201 259</w:t>
            </w:r>
            <w:r/>
          </w:p>
        </w:tc>
      </w:tr>
      <w:tr>
        <w:trPr>
          <w:cantSplit/>
          <w:trHeight w:val="30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9" w:type="dxa"/>
            <w:vAlign w:val="center"/>
            <w:vMerge w:val="restart"/>
            <w:textDirection w:val="lrTb"/>
            <w:noWrap w:val="false"/>
          </w:tcPr>
          <w:p>
            <w:pPr>
              <w:pStyle w:val="1190"/>
              <w:ind w:left="0" w:right="-30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4" w:type="dxa"/>
            <w:vAlign w:val="center"/>
            <w:vMerge w:val="restart"/>
            <w:textDirection w:val="lrTb"/>
            <w:noWrap w:val="false"/>
          </w:tcPr>
          <w:p>
            <w:pPr>
              <w:pStyle w:val="1190"/>
              <w:ind w:left="0" w:right="-30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федеральный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</w:tr>
      <w:tr>
        <w:trPr>
          <w:cantSplit/>
          <w:trHeight w:val="30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9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4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иные источники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</w:tr>
      <w:tr>
        <w:trPr>
          <w:cantSplit/>
          <w:trHeight w:val="1156"/>
        </w:trPr>
        <w:tc>
          <w:tcPr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67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b/>
                <w:color w:val="000000"/>
              </w:rPr>
              <w:t xml:space="preserve">Задача 1. «</w:t>
            </w:r>
            <w:r>
              <w:rPr>
                <w:b/>
              </w:rPr>
              <w:t xml:space="preserve">Обеспече</w:t>
            </w:r>
            <w:r>
              <w:rPr>
                <w:b/>
              </w:rPr>
              <w:t xml:space="preserve">ние сохранности существующей сети автодорог  местного  значения, относящихся к улично-дорожной сети населенных пунктов  района, улучшение транспортно-эксплуатационных характеристик и потребительских свойств автодорог с целью снижения транспортных издержек.</w:t>
            </w:r>
            <w:r>
              <w:rPr>
                <w:b/>
                <w:color w:val="000000"/>
              </w:rPr>
            </w:r>
            <w:r/>
          </w:p>
        </w:tc>
      </w:tr>
      <w:tr>
        <w:trPr>
          <w:cantSplit/>
          <w:trHeight w:val="45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9" w:type="dxa"/>
            <w:vAlign w:val="center"/>
            <w:vMerge w:val="restart"/>
            <w:textDirection w:val="lrTb"/>
            <w:noWrap w:val="false"/>
          </w:tcPr>
          <w:p>
            <w:pPr>
              <w:pStyle w:val="1190"/>
              <w:ind w:left="0" w:right="-30" w:firstLine="0"/>
              <w:jc w:val="center"/>
            </w:pPr>
            <w:r>
              <w:rPr>
                <w:b/>
                <w:color w:val="000000"/>
              </w:rPr>
              <w:t xml:space="preserve">Основное</w:t>
            </w:r>
            <w:r/>
          </w:p>
          <w:p>
            <w:pPr>
              <w:pStyle w:val="1190"/>
              <w:ind w:left="0" w:right="-30" w:firstLine="0"/>
              <w:jc w:val="center"/>
            </w:pPr>
            <w:r>
              <w:rPr>
                <w:b/>
                <w:color w:val="000000"/>
              </w:rPr>
              <w:t xml:space="preserve">мероприятие 1.1.</w:t>
            </w:r>
            <w:r/>
          </w:p>
          <w:p>
            <w:pPr>
              <w:pStyle w:val="1190"/>
              <w:ind w:left="0" w:right="-30" w:firstLine="7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4" w:type="dxa"/>
            <w:vAlign w:val="center"/>
            <w:vMerge w:val="restart"/>
            <w:textDirection w:val="lrTb"/>
            <w:noWrap w:val="false"/>
          </w:tcPr>
          <w:p>
            <w:pPr>
              <w:pStyle w:val="1190"/>
              <w:ind w:left="0" w:right="-30" w:firstLine="0"/>
              <w:jc w:val="center"/>
            </w:pPr>
            <w:r>
              <w:rPr>
                <w:color w:val="000000"/>
              </w:rPr>
              <w:t xml:space="preserve">Содержание и ремонт автомобильных дорог местного значения и искусственных сооружений на них, относящихся  к улично-дорожной сети населенных пунктов района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1190"/>
              <w:ind w:left="0" w:right="-30" w:firstLine="0"/>
              <w:jc w:val="center"/>
            </w:pPr>
            <w:r>
              <w:rPr>
                <w:b/>
                <w:color w:val="000000"/>
              </w:rPr>
              <w:t xml:space="preserve">Всего: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  <w:rPr>
                <w:highlight w:val="yellow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  <w:highlight w:val="none"/>
              </w:rPr>
              <w:t xml:space="preserve">240 400,9</w:t>
            </w:r>
            <w:r>
              <w:rPr>
                <w:highlight w:val="yellow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8 801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4 076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12 388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19 258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15 895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25 339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85 757</w:t>
            </w:r>
            <w:r/>
          </w:p>
        </w:tc>
      </w:tr>
      <w:tr>
        <w:trPr>
          <w:cantSplit/>
          <w:trHeight w:val="3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9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4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местный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  <w:rPr>
                <w:highlight w:val="yellow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none"/>
              </w:rPr>
              <w:t xml:space="preserve">191 088,8</w:t>
            </w:r>
            <w:r>
              <w:rPr>
                <w:highlight w:val="yellow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8 801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4 076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12 388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19 258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15 895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25 339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85 757</w:t>
            </w:r>
            <w:r/>
          </w:p>
        </w:tc>
      </w:tr>
      <w:tr>
        <w:trPr>
          <w:cantSplit/>
          <w:trHeight w:val="36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9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4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областной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  <w:rPr>
                <w:highlight w:val="yellow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none"/>
              </w:rPr>
              <w:t xml:space="preserve">49 312,1</w:t>
            </w:r>
            <w:r>
              <w:rPr>
                <w:highlight w:val="yellow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</w:tr>
      <w:tr>
        <w:trPr>
          <w:cantSplit/>
          <w:trHeight w:val="60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9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4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федеральный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</w:tr>
      <w:tr>
        <w:trPr>
          <w:cantSplit/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9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4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иные источники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</w:tr>
      <w:tr>
        <w:trPr>
          <w:cantSplit/>
          <w:trHeight w:val="690"/>
        </w:trPr>
        <w:tc>
          <w:tcPr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67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720"/>
              <w:jc w:val="center"/>
            </w:pPr>
            <w:r>
              <w:rPr>
                <w:b/>
                <w:color w:val="000000"/>
              </w:rPr>
              <w:t xml:space="preserve">Задача 2. «</w:t>
            </w:r>
            <w:r>
              <w:rPr>
                <w:b/>
              </w:rPr>
              <w:t xml:space="preserve">Обеспечение круглогодичной транспортной  доступности сельских населенных пунктов, обеспечение автодорогами с твердым покрытием улично-дорожной сети населенных пунктов, микрорайонов массовой жилищной застройки.</w:t>
            </w:r>
            <w:r>
              <w:rPr>
                <w:b/>
                <w:color w:val="000000"/>
              </w:rPr>
            </w:r>
            <w:r/>
          </w:p>
        </w:tc>
      </w:tr>
      <w:tr>
        <w:trPr>
          <w:cantSplit/>
          <w:trHeight w:val="39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9" w:type="dxa"/>
            <w:vAlign w:val="center"/>
            <w:vMerge w:val="restart"/>
            <w:textDirection w:val="lrTb"/>
            <w:noWrap w:val="false"/>
          </w:tcPr>
          <w:p>
            <w:pPr>
              <w:pStyle w:val="1190"/>
              <w:ind w:left="0" w:right="-30" w:firstLine="0"/>
              <w:jc w:val="center"/>
            </w:pPr>
            <w:r>
              <w:rPr>
                <w:b/>
                <w:color w:val="000000"/>
              </w:rPr>
              <w:t xml:space="preserve">Основное</w:t>
            </w:r>
            <w:r/>
          </w:p>
          <w:p>
            <w:pPr>
              <w:pStyle w:val="1190"/>
              <w:ind w:left="0" w:right="-30" w:firstLine="0"/>
              <w:jc w:val="center"/>
            </w:pPr>
            <w:r>
              <w:rPr>
                <w:b/>
                <w:color w:val="000000"/>
              </w:rPr>
              <w:t xml:space="preserve">мероприятие 1.2.</w:t>
            </w:r>
            <w:r/>
          </w:p>
          <w:p>
            <w:pPr>
              <w:pStyle w:val="1190"/>
              <w:ind w:left="0" w:right="-30" w:firstLine="7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4" w:type="dxa"/>
            <w:vAlign w:val="center"/>
            <w:vMerge w:val="restart"/>
            <w:textDirection w:val="lrTb"/>
            <w:noWrap w:val="false"/>
          </w:tcPr>
          <w:p>
            <w:pPr>
              <w:pStyle w:val="1190"/>
              <w:ind w:left="0" w:right="-30" w:firstLine="0"/>
              <w:jc w:val="center"/>
            </w:pPr>
            <w:r>
              <w:rPr>
                <w:color w:val="000000"/>
              </w:rPr>
              <w:t xml:space="preserve">Капитальный ремонт и ремонт автомобильных дорог местного значения, относящихся  к улично-дорожной сети населенных пунктов района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1190"/>
              <w:ind w:left="0" w:right="-30" w:firstLine="0"/>
              <w:jc w:val="center"/>
            </w:pPr>
            <w:r>
              <w:rPr>
                <w:b/>
                <w:color w:val="000000"/>
              </w:rPr>
              <w:t xml:space="preserve">Всего: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 xml:space="preserve">467 267,7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7 014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</w:rPr>
              <w:t xml:space="preserve">14 751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</w:rPr>
              <w:t xml:space="preserve">6 027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</w:rPr>
              <w:t xml:space="preserve">16 293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</w:rPr>
              <w:t xml:space="preserve">122 947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</w:rPr>
              <w:t xml:space="preserve">72 611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239 643</w:t>
            </w:r>
            <w:r/>
          </w:p>
        </w:tc>
      </w:tr>
      <w:tr>
        <w:trPr>
          <w:cantSplit/>
          <w:trHeight w:val="3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9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4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местный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44 430,7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7 014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14 751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6 027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815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6 147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3 630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38 384</w:t>
            </w:r>
            <w:r/>
          </w:p>
        </w:tc>
      </w:tr>
      <w:tr>
        <w:trPr>
          <w:cantSplit/>
          <w:trHeight w:val="3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9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4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областной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422 837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15 478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116 800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68 981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201 259</w:t>
            </w:r>
            <w:r/>
          </w:p>
        </w:tc>
      </w:tr>
      <w:tr>
        <w:trPr>
          <w:cantSplit/>
          <w:trHeight w:val="29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9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4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федеральный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</w:tr>
      <w:tr>
        <w:trPr>
          <w:cantSplit/>
          <w:trHeight w:val="33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9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4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иные источники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</w:tr>
      <w:tr>
        <w:trPr>
          <w:cantSplit/>
          <w:trHeight w:val="4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9" w:type="dxa"/>
            <w:vAlign w:val="center"/>
            <w:vMerge w:val="restart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b/>
              </w:rPr>
              <w:t xml:space="preserve">Основное мероприятие 1.3.</w:t>
            </w:r>
            <w:r/>
          </w:p>
          <w:p>
            <w:pPr>
              <w:pStyle w:val="1190"/>
              <w:ind w:left="0" w:right="-30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4" w:type="dxa"/>
            <w:vAlign w:val="center"/>
            <w:vMerge w:val="restart"/>
            <w:textDirection w:val="lrTb"/>
            <w:noWrap w:val="false"/>
          </w:tcPr>
          <w:p>
            <w:pPr>
              <w:pStyle w:val="1190"/>
              <w:ind w:left="0" w:right="-30" w:firstLine="0"/>
              <w:jc w:val="center"/>
            </w:pPr>
            <w:r>
              <w:t xml:space="preserve">Субсидии на строительство (реконструкцию)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1190"/>
              <w:ind w:left="0" w:right="-30" w:firstLine="0"/>
              <w:jc w:val="center"/>
            </w:pPr>
            <w:r>
              <w:rPr>
                <w:b/>
                <w:color w:val="000000"/>
              </w:rPr>
              <w:t xml:space="preserve">Всего: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0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center"/>
            <w:textDirection w:val="lrTb"/>
            <w:noWrap w:val="false"/>
          </w:tcPr>
          <w:p>
            <w:pPr>
              <w:pStyle w:val="1190"/>
              <w:ind w:left="0" w:right="0" w:hanging="20"/>
              <w:jc w:val="center"/>
            </w:pPr>
            <w:r>
              <w:rPr>
                <w:b/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pStyle w:val="1190"/>
              <w:ind w:left="0" w:right="0" w:hanging="20"/>
              <w:jc w:val="center"/>
            </w:pPr>
            <w:r>
              <w:rPr>
                <w:b/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hanging="27"/>
              <w:jc w:val="center"/>
            </w:pPr>
            <w:r>
              <w:rPr>
                <w:b/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0</w:t>
            </w:r>
            <w:r/>
          </w:p>
        </w:tc>
      </w:tr>
      <w:tr>
        <w:trPr>
          <w:cantSplit/>
          <w:trHeight w:val="3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9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4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местный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8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</w:tr>
      <w:tr>
        <w:trPr>
          <w:cantSplit/>
          <w:trHeight w:val="44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9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4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областной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</w:tr>
      <w:tr>
        <w:trPr>
          <w:cantSplit/>
          <w:trHeight w:val="3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9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4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федеральный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8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</w:tr>
      <w:tr>
        <w:trPr>
          <w:cantSplit/>
          <w:trHeight w:val="4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9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4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иные источники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8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8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</w:tr>
      <w:tr>
        <w:trPr>
          <w:cantSplit/>
          <w:trHeight w:val="589"/>
        </w:trPr>
        <w:tc>
          <w:tcPr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67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</w:rPr>
              <w:t xml:space="preserve">Задача 3. Обеспечение формирования  адресных программ повышения безопасности дорожного движения пешеходов, в т. ч. обустройство пешеходных переходов техническими средствами организации дорожного движения</w:t>
            </w:r>
            <w:r>
              <w:rPr>
                <w:b/>
              </w:rPr>
            </w:r>
            <w:r/>
          </w:p>
        </w:tc>
      </w:tr>
      <w:tr>
        <w:trPr>
          <w:cantSplit/>
          <w:trHeight w:val="37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9" w:type="dxa"/>
            <w:vAlign w:val="center"/>
            <w:vMerge w:val="restart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b/>
              </w:rPr>
              <w:t xml:space="preserve">Основное мероприятие 1.4.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4" w:type="dxa"/>
            <w:vAlign w:val="center"/>
            <w:vMerge w:val="restart"/>
            <w:textDirection w:val="lrTb"/>
            <w:noWrap w:val="false"/>
          </w:tcPr>
          <w:p>
            <w:pPr>
              <w:pStyle w:val="1190"/>
              <w:ind w:left="0" w:right="-30" w:firstLine="0"/>
              <w:jc w:val="center"/>
            </w:pPr>
            <w:r>
              <w:t xml:space="preserve">Установка новых дорожных знаков и строительство пешеходных тротуаров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1190"/>
              <w:ind w:left="0" w:right="-30" w:firstLine="0"/>
              <w:jc w:val="center"/>
            </w:pPr>
            <w:r>
              <w:rPr>
                <w:b/>
                <w:color w:val="000000"/>
              </w:rPr>
              <w:t xml:space="preserve">Всего: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 xml:space="preserve">4 131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Align w:val="center"/>
            <w:textDirection w:val="lrTb"/>
            <w:noWrap w:val="false"/>
          </w:tcPr>
          <w:p>
            <w:pPr>
              <w:pStyle w:val="1190"/>
              <w:ind w:left="0" w:right="0" w:hanging="20"/>
              <w:jc w:val="center"/>
            </w:pPr>
            <w:r>
              <w:rPr>
                <w:b/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pStyle w:val="1190"/>
              <w:ind w:left="0" w:right="0" w:hanging="20"/>
              <w:jc w:val="center"/>
            </w:pPr>
            <w:r>
              <w:rPr>
                <w:b/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hanging="27"/>
              <w:jc w:val="center"/>
            </w:pPr>
            <w:r>
              <w:rPr>
                <w:b/>
                <w:color w:val="000000"/>
              </w:rPr>
              <w:t xml:space="preserve">411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411</w:t>
            </w:r>
            <w:r/>
          </w:p>
        </w:tc>
      </w:tr>
      <w:tr>
        <w:trPr>
          <w:cantSplit/>
          <w:trHeight w:val="2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9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4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местный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8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  <w:spacing w:before="0" w:after="0" w:line="240" w:lineRule="auto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4 131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411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411</w:t>
            </w:r>
            <w:r/>
          </w:p>
        </w:tc>
      </w:tr>
      <w:tr>
        <w:trPr>
          <w:cantSplit/>
          <w:trHeight w:val="37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9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4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областной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 </w:t>
            </w:r>
            <w:r/>
          </w:p>
        </w:tc>
      </w:tr>
      <w:tr>
        <w:trPr>
          <w:cantSplit/>
          <w:trHeight w:val="37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9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4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федеральный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</w:tr>
      <w:tr>
        <w:trPr>
          <w:cantSplit/>
          <w:trHeight w:val="37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9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4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иные источники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</w:tr>
      <w:tr>
        <w:trPr>
          <w:cantSplit/>
          <w:trHeight w:val="37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9" w:type="dxa"/>
            <w:vAlign w:val="center"/>
            <w:vMerge w:val="restart"/>
            <w:textDirection w:val="lrTb"/>
            <w:noWrap w:val="false"/>
          </w:tcPr>
          <w:p>
            <w:pPr>
              <w:pStyle w:val="1190"/>
              <w:ind w:left="0" w:right="-30" w:firstLine="0"/>
              <w:jc w:val="center"/>
            </w:pPr>
            <w:r>
              <w:rPr>
                <w:b/>
                <w:color w:val="000000"/>
              </w:rPr>
              <w:t xml:space="preserve">Подпрограмма 2</w:t>
            </w:r>
            <w:r/>
          </w:p>
          <w:p>
            <w:pPr>
              <w:pStyle w:val="1190"/>
              <w:ind w:left="0" w:right="-30" w:firstLine="7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4" w:type="dxa"/>
            <w:vAlign w:val="center"/>
            <w:vMerge w:val="restart"/>
            <w:textDirection w:val="lrTb"/>
            <w:noWrap w:val="false"/>
          </w:tcPr>
          <w:p>
            <w:pPr>
              <w:pStyle w:val="1190"/>
              <w:ind w:left="0" w:right="-30" w:firstLine="0"/>
              <w:jc w:val="center"/>
            </w:pPr>
            <w:r>
              <w:rPr>
                <w:b/>
                <w:color w:val="000000"/>
              </w:rPr>
              <w:t xml:space="preserve">«Совершенствование и развитие транспортной системы Чернянского района»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1190"/>
              <w:ind w:left="0" w:right="-30" w:firstLine="0"/>
              <w:jc w:val="center"/>
            </w:pPr>
            <w:r>
              <w:rPr>
                <w:b/>
                <w:color w:val="000000"/>
              </w:rPr>
              <w:t xml:space="preserve">Всего: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8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  <w:rPr>
                <w:highlight w:val="yellow"/>
              </w:rPr>
            </w:pPr>
            <w:r>
              <w:rPr>
                <w:rFonts w:cs="Times New Roman"/>
                <w:b/>
                <w:sz w:val="24"/>
                <w:szCs w:val="24"/>
                <w:highlight w:val="none"/>
              </w:rPr>
              <w:t xml:space="preserve">119 641,8</w:t>
            </w:r>
            <w:r>
              <w:rPr>
                <w:highlight w:val="yellow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</w:rPr>
              <w:t xml:space="preserve">6 547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</w:rPr>
              <w:t xml:space="preserve">6 164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</w:rPr>
              <w:t xml:space="preserve">6 865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</w:rPr>
              <w:t xml:space="preserve">8 641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</w:rPr>
              <w:t xml:space="preserve">12 088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</w:rPr>
              <w:t xml:space="preserve">11 755,5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</w:rPr>
              <w:t xml:space="preserve">52 060,5</w:t>
            </w:r>
            <w:r/>
          </w:p>
        </w:tc>
      </w:tr>
      <w:tr>
        <w:trPr>
          <w:cantSplit/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9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4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местный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8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  <w:rPr>
                <w:highlight w:val="yellow"/>
              </w:rPr>
            </w:pPr>
            <w:r>
              <w:rPr>
                <w:rFonts w:cs="Times New Roman"/>
                <w:sz w:val="24"/>
                <w:szCs w:val="24"/>
                <w:highlight w:val="none"/>
              </w:rPr>
              <w:t xml:space="preserve">118 807,1</w:t>
            </w:r>
            <w:r>
              <w:rPr>
                <w:highlight w:val="yellow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6 547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6 164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6 865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8 641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12 088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11 702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52 007</w:t>
            </w:r>
            <w:r/>
          </w:p>
        </w:tc>
      </w:tr>
      <w:tr>
        <w:trPr>
          <w:cantSplit/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9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4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областной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  <w:rPr>
                <w:highlight w:val="yellow"/>
              </w:rPr>
            </w:pPr>
            <w:r>
              <w:rPr>
                <w:rFonts w:cs="Times New Roman"/>
                <w:sz w:val="24"/>
                <w:szCs w:val="24"/>
                <w:highlight w:val="none"/>
              </w:rPr>
              <w:t xml:space="preserve">834,7</w:t>
            </w:r>
            <w:r>
              <w:rPr>
                <w:highlight w:val="yellow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53,5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53,5</w:t>
            </w:r>
            <w:r/>
          </w:p>
        </w:tc>
      </w:tr>
      <w:tr>
        <w:trPr>
          <w:cantSplit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9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4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федеральный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8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</w:tr>
      <w:tr>
        <w:trPr>
          <w:cantSplit/>
          <w:trHeight w:val="3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9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4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иные источники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8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</w:tr>
      <w:tr>
        <w:trPr>
          <w:cantSplit/>
          <w:trHeight w:val="334"/>
        </w:trPr>
        <w:tc>
          <w:tcPr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67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Задача 1. «Создание условий для организации транспортного обслуживания населения»</w:t>
            </w:r>
            <w:r>
              <w:rPr>
                <w:b/>
                <w:color w:val="000000"/>
              </w:rPr>
            </w:r>
            <w:r/>
          </w:p>
        </w:tc>
      </w:tr>
      <w:tr>
        <w:trPr>
          <w:cantSplit/>
          <w:trHeight w:val="55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9" w:type="dxa"/>
            <w:vAlign w:val="center"/>
            <w:vMerge w:val="restart"/>
            <w:textDirection w:val="lrTb"/>
            <w:noWrap w:val="false"/>
          </w:tcPr>
          <w:p>
            <w:pPr>
              <w:pStyle w:val="1190"/>
              <w:ind w:left="0" w:right="-30" w:firstLine="0"/>
              <w:jc w:val="center"/>
            </w:pPr>
            <w:r>
              <w:rPr>
                <w:b/>
                <w:color w:val="000000"/>
              </w:rPr>
              <w:t xml:space="preserve">Основное</w:t>
            </w:r>
            <w:r/>
          </w:p>
          <w:p>
            <w:pPr>
              <w:pStyle w:val="1190"/>
              <w:ind w:left="0" w:right="-30" w:firstLine="0"/>
              <w:jc w:val="center"/>
            </w:pPr>
            <w:r>
              <w:rPr>
                <w:b/>
                <w:color w:val="000000"/>
              </w:rPr>
              <w:t xml:space="preserve">мероприятие 2.1.</w:t>
            </w:r>
            <w:r/>
          </w:p>
          <w:p>
            <w:pPr>
              <w:pStyle w:val="1190"/>
              <w:ind w:left="0" w:right="-30" w:firstLine="7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4" w:type="dxa"/>
            <w:vAlign w:val="center"/>
            <w:vMerge w:val="restart"/>
            <w:textDirection w:val="lrTb"/>
            <w:noWrap w:val="false"/>
          </w:tcPr>
          <w:p>
            <w:pPr>
              <w:pStyle w:val="1190"/>
              <w:ind w:left="0" w:right="-30" w:firstLine="0"/>
              <w:jc w:val="center"/>
            </w:pPr>
            <w:r>
              <w:t xml:space="preserve">Средства на проезд студентов, аспирантов и учащихся учебных заведений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1190"/>
              <w:ind w:left="0" w:right="-30" w:firstLine="0"/>
              <w:jc w:val="center"/>
            </w:pPr>
            <w:r>
              <w:rPr>
                <w:b/>
                <w:color w:val="000000"/>
              </w:rPr>
              <w:t xml:space="preserve">Всего: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 xml:space="preserve">2 041,1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360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158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360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400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400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102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1 780</w:t>
            </w:r>
            <w:r/>
          </w:p>
        </w:tc>
      </w:tr>
      <w:tr>
        <w:trPr>
          <w:cantSplit/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9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4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местный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2 041,1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360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158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360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400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400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102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1 780</w:t>
            </w:r>
            <w:r/>
          </w:p>
        </w:tc>
      </w:tr>
      <w:tr>
        <w:trPr>
          <w:cantSplit/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9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4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областной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0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</w:tr>
      <w:tr>
        <w:trPr>
          <w:cantSplit/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9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4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федеральный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8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  <w:spacing w:before="0" w:after="0" w:line="240" w:lineRule="auto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0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</w:tr>
      <w:tr>
        <w:trPr>
          <w:cantSplit/>
          <w:trHeight w:val="1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9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4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иные источники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8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  <w:spacing w:before="0" w:after="0" w:line="240" w:lineRule="auto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0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</w:tr>
      <w:tr>
        <w:trPr>
          <w:cantSplit/>
          <w:trHeight w:val="4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9" w:type="dxa"/>
            <w:vAlign w:val="center"/>
            <w:vMerge w:val="restart"/>
            <w:textDirection w:val="lrTb"/>
            <w:noWrap w:val="false"/>
          </w:tcPr>
          <w:p>
            <w:pPr>
              <w:pStyle w:val="1190"/>
              <w:ind w:left="0" w:right="-30" w:firstLine="0"/>
              <w:jc w:val="center"/>
            </w:pPr>
            <w:r>
              <w:rPr>
                <w:b/>
                <w:color w:val="000000"/>
              </w:rPr>
              <w:t xml:space="preserve">Основное</w:t>
            </w:r>
            <w:r/>
          </w:p>
          <w:p>
            <w:pPr>
              <w:pStyle w:val="1190"/>
              <w:ind w:left="0" w:right="-30" w:firstLine="0"/>
              <w:jc w:val="center"/>
            </w:pPr>
            <w:r>
              <w:rPr>
                <w:b/>
                <w:color w:val="000000"/>
              </w:rPr>
              <w:t xml:space="preserve">мероприятие 2.2.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4" w:type="dxa"/>
            <w:vAlign w:val="center"/>
            <w:vMerge w:val="restart"/>
            <w:textDirection w:val="lrTb"/>
            <w:noWrap w:val="false"/>
          </w:tcPr>
          <w:p>
            <w:pPr>
              <w:ind w:left="0" w:right="-30" w:firstLine="0"/>
              <w:jc w:val="center"/>
            </w:pP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  <w:r/>
          </w:p>
          <w:p>
            <w:pPr>
              <w:pStyle w:val="1190"/>
              <w:ind w:left="0" w:right="-30" w:firstLine="0"/>
              <w:jc w:val="center"/>
              <w:rPr>
                <w:color w:val="000000"/>
                <w:highlight w:val="none"/>
              </w:rPr>
            </w:pPr>
            <w:r>
              <w:rPr>
                <w:color w:val="000000"/>
              </w:rPr>
              <w:t xml:space="preserve">Средства на покрытие убытков  по организации транспортного обслуживания на внутримуниципальном пригородном сообщении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1190"/>
              <w:ind w:left="0" w:right="-30" w:firstLine="0"/>
              <w:jc w:val="center"/>
            </w:pPr>
            <w:r>
              <w:rPr>
                <w:b/>
                <w:color w:val="000000"/>
              </w:rPr>
              <w:t xml:space="preserve">Всего: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 xml:space="preserve">117 186,4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6 187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6 006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</w:rPr>
              <w:t xml:space="preserve">6 505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</w:rPr>
              <w:t xml:space="preserve">8 241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</w:rPr>
              <w:t xml:space="preserve">11 688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</w:rPr>
              <w:t xml:space="preserve">11 653,5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50 280,5</w:t>
            </w:r>
            <w:r/>
          </w:p>
        </w:tc>
      </w:tr>
      <w:tr>
        <w:trPr>
          <w:cantSplit/>
          <w:trHeight w:val="2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9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4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местный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116 766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6 187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6 006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bottom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6 505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bottom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8 241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bottom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11 688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bottom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11 600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50 227</w:t>
            </w:r>
            <w:r/>
          </w:p>
        </w:tc>
      </w:tr>
      <w:tr>
        <w:trPr>
          <w:cantSplit/>
          <w:trHeight w:val="37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9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4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областной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420,4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53,5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53,5</w:t>
            </w:r>
            <w:r/>
          </w:p>
        </w:tc>
      </w:tr>
      <w:tr>
        <w:trPr>
          <w:cantSplit/>
          <w:trHeight w:val="71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9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4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федеральный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8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</w:tr>
      <w:tr>
        <w:trPr>
          <w:cantSplit/>
          <w:trHeight w:val="85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9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4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иные источники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8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</w:tr>
    </w:tbl>
    <w:p>
      <w:pPr>
        <w:pStyle w:val="1234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eastAsia="Arial"/>
        </w:rPr>
        <w:t xml:space="preserve"> </w:t>
      </w:r>
      <w:r/>
    </w:p>
    <w:p>
      <w:pPr>
        <w:pStyle w:val="1234"/>
        <w:ind w:left="0" w:right="-23" w:firstLine="72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Ресурсное обеспечение и прогнозная (справочная) оценка расходов на реализацию </w:t>
      </w:r>
      <w:r/>
    </w:p>
    <w:p>
      <w:pPr>
        <w:pStyle w:val="1234"/>
        <w:ind w:left="0" w:right="-23" w:firstLine="72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основных мероприятий муниципальной программы из различных источников финансирования на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II этап реализации</w:t>
      </w:r>
      <w:r>
        <w:t xml:space="preserve"> </w:t>
      </w:r>
      <w:r/>
    </w:p>
    <w:tbl>
      <w:tblPr>
        <w:tblW w:w="0" w:type="auto"/>
        <w:tblInd w:w="-60" w:type="dxa"/>
        <w:tblLayout w:type="fixed"/>
        <w:tblCellMar>
          <w:left w:w="30" w:type="dxa"/>
          <w:top w:w="0" w:type="dxa"/>
          <w:right w:w="30" w:type="dxa"/>
          <w:bottom w:w="0" w:type="dxa"/>
        </w:tblCellMar>
        <w:tblLook w:val="04A0" w:firstRow="1" w:lastRow="0" w:firstColumn="1" w:lastColumn="0" w:noHBand="0" w:noVBand="1"/>
      </w:tblPr>
      <w:tblGrid>
        <w:gridCol w:w="1865"/>
        <w:gridCol w:w="2873"/>
        <w:gridCol w:w="1899"/>
        <w:gridCol w:w="1306"/>
        <w:gridCol w:w="1062"/>
        <w:gridCol w:w="38"/>
        <w:gridCol w:w="968"/>
        <w:gridCol w:w="1016"/>
        <w:gridCol w:w="993"/>
        <w:gridCol w:w="1020"/>
        <w:gridCol w:w="994"/>
        <w:gridCol w:w="1306"/>
      </w:tblGrid>
      <w:tr>
        <w:trPr>
          <w:cantSplit/>
          <w:trHeight w:val="6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5" w:type="dxa"/>
            <w:vAlign w:val="center"/>
            <w:vMerge w:val="restart"/>
            <w:textDirection w:val="lrTb"/>
            <w:noWrap w:val="false"/>
          </w:tcPr>
          <w:p>
            <w:pPr>
              <w:pStyle w:val="1190"/>
              <w:ind w:left="0" w:right="-30" w:firstLine="0"/>
              <w:jc w:val="center"/>
            </w:pPr>
            <w:r>
              <w:rPr>
                <w:color w:val="000000"/>
              </w:rPr>
              <w:t xml:space="preserve">Статус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73" w:type="dxa"/>
            <w:vAlign w:val="center"/>
            <w:vMerge w:val="restart"/>
            <w:textDirection w:val="lrTb"/>
            <w:noWrap w:val="false"/>
          </w:tcPr>
          <w:p>
            <w:pPr>
              <w:pStyle w:val="1190"/>
              <w:ind w:left="0" w:right="-30" w:firstLine="0"/>
              <w:jc w:val="center"/>
            </w:pPr>
            <w:r>
              <w:rPr>
                <w:color w:val="000000"/>
              </w:rPr>
              <w:t xml:space="preserve">Наименование муници-пальной программы, подпрограммы муници-пальной программы, основного мероприятия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9" w:type="dxa"/>
            <w:vAlign w:val="center"/>
            <w:vMerge w:val="restart"/>
            <w:textDirection w:val="lrTb"/>
            <w:noWrap w:val="false"/>
          </w:tcPr>
          <w:p>
            <w:pPr>
              <w:pStyle w:val="1190"/>
              <w:ind w:left="0" w:right="-30" w:firstLine="0"/>
              <w:jc w:val="center"/>
            </w:pPr>
            <w:r>
              <w:rPr>
                <w:color w:val="000000"/>
              </w:rPr>
              <w:t xml:space="preserve">Источник финансирования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vMerge w:val="restart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Общий объем финансирования, тыс. рублей</w:t>
            </w:r>
            <w:r/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91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Расходы (тыс.рублей), годы</w:t>
            </w:r>
            <w:r/>
          </w:p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vMerge w:val="restart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Итого на </w:t>
            </w:r>
            <w:r>
              <w:rPr>
                <w:lang w:val="en-US"/>
              </w:rPr>
              <w:t xml:space="preserve">II</w:t>
            </w:r>
            <w:r>
              <w:t xml:space="preserve"> этап (2021-2026 годы)</w:t>
            </w:r>
            <w:r/>
          </w:p>
        </w:tc>
      </w:tr>
      <w:tr>
        <w:trPr>
          <w:cantSplit/>
          <w:trHeight w:val="64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5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73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9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20</w:t>
            </w:r>
            <w:r>
              <w:rPr>
                <w:lang w:val="en-US"/>
              </w:rPr>
              <w:t xml:space="preserve">21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20</w:t>
            </w:r>
            <w:r>
              <w:rPr>
                <w:lang w:val="en-US"/>
              </w:rPr>
              <w:t xml:space="preserve">22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20</w:t>
            </w:r>
            <w:r>
              <w:rPr>
                <w:lang w:val="en-US"/>
              </w:rPr>
              <w:t xml:space="preserve">23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20</w:t>
            </w:r>
            <w:r>
              <w:rPr>
                <w:color w:val="000000"/>
                <w:lang w:val="en-US"/>
              </w:rPr>
              <w:t xml:space="preserve">24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20</w:t>
            </w:r>
            <w:r>
              <w:rPr>
                <w:color w:val="000000"/>
                <w:lang w:val="en-US"/>
              </w:rPr>
              <w:t xml:space="preserve">25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2026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</w:tr>
      <w:tr>
        <w:trPr>
          <w:cantSplit/>
          <w:trHeight w:val="2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5" w:type="dxa"/>
            <w:vAlign w:val="center"/>
            <w:textDirection w:val="lrTb"/>
            <w:noWrap w:val="false"/>
          </w:tcPr>
          <w:p>
            <w:pPr>
              <w:pStyle w:val="1190"/>
              <w:ind w:left="0" w:right="-30" w:firstLine="720"/>
              <w:jc w:val="center"/>
            </w:pPr>
            <w:r>
              <w:rPr>
                <w:color w:val="000000"/>
                <w:sz w:val="20"/>
                <w:szCs w:val="20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73" w:type="dxa"/>
            <w:vAlign w:val="center"/>
            <w:textDirection w:val="lrTb"/>
            <w:noWrap w:val="false"/>
          </w:tcPr>
          <w:p>
            <w:pPr>
              <w:pStyle w:val="1190"/>
              <w:ind w:left="0" w:right="-30" w:firstLine="720"/>
              <w:jc w:val="center"/>
            </w:pPr>
            <w:r>
              <w:rPr>
                <w:color w:val="000000"/>
                <w:sz w:val="20"/>
                <w:szCs w:val="20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9" w:type="dxa"/>
            <w:vAlign w:val="center"/>
            <w:textDirection w:val="lrTb"/>
            <w:noWrap w:val="false"/>
          </w:tcPr>
          <w:p>
            <w:pPr>
              <w:pStyle w:val="1190"/>
              <w:ind w:left="0" w:right="-30" w:firstLine="0"/>
              <w:jc w:val="center"/>
            </w:pPr>
            <w:r>
              <w:rPr>
                <w:color w:val="000000"/>
                <w:sz w:val="20"/>
                <w:szCs w:val="20"/>
              </w:rP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  <w:sz w:val="20"/>
                <w:szCs w:val="20"/>
              </w:rPr>
              <w:t xml:space="preserve">4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  <w:sz w:val="20"/>
                <w:szCs w:val="20"/>
              </w:rPr>
              <w:t xml:space="preserve">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  <w:sz w:val="20"/>
                <w:szCs w:val="20"/>
              </w:rPr>
              <w:t xml:space="preserve">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  <w:sz w:val="20"/>
                <w:szCs w:val="20"/>
              </w:rPr>
              <w:t xml:space="preserve">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  <w:sz w:val="20"/>
                <w:szCs w:val="20"/>
              </w:rPr>
              <w:t xml:space="preserve">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  <w:sz w:val="20"/>
                <w:szCs w:val="20"/>
              </w:rPr>
              <w:t xml:space="preserve">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</w:t>
            </w:r>
            <w:r>
              <w:rPr>
                <w:color w:val="000000"/>
                <w:sz w:val="20"/>
                <w:szCs w:val="2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  <w:sz w:val="20"/>
                <w:szCs w:val="20"/>
              </w:rPr>
              <w:t xml:space="preserve">11</w:t>
            </w:r>
            <w:r/>
          </w:p>
        </w:tc>
      </w:tr>
      <w:tr>
        <w:trPr>
          <w:cantSplit/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5" w:type="dxa"/>
            <w:vAlign w:val="center"/>
            <w:vMerge w:val="restart"/>
            <w:textDirection w:val="lrTb"/>
            <w:noWrap w:val="false"/>
          </w:tcPr>
          <w:p>
            <w:pPr>
              <w:pStyle w:val="1190"/>
              <w:ind w:left="0" w:right="-30" w:firstLine="0"/>
              <w:jc w:val="center"/>
            </w:pPr>
            <w:r>
              <w:rPr>
                <w:b/>
                <w:color w:val="000000"/>
              </w:rPr>
              <w:t xml:space="preserve">Муниципальная программа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73" w:type="dxa"/>
            <w:vAlign w:val="center"/>
            <w:vMerge w:val="restart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b/>
              </w:rPr>
              <w:t xml:space="preserve">Муниципальная программа «Совершенствование и развитие</w:t>
            </w:r>
            <w:r/>
          </w:p>
          <w:p>
            <w:pPr>
              <w:pStyle w:val="1190"/>
              <w:ind w:left="0" w:right="-30" w:firstLine="0"/>
              <w:jc w:val="center"/>
              <w:widowControl w:val="off"/>
            </w:pPr>
            <w:r>
              <w:rPr>
                <w:b/>
              </w:rPr>
              <w:t xml:space="preserve">транспортной системы и дорожной сети Чернянского района Белгородской области»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9" w:type="dxa"/>
            <w:vAlign w:val="center"/>
            <w:textDirection w:val="lrTb"/>
            <w:noWrap w:val="false"/>
          </w:tcPr>
          <w:p>
            <w:pPr>
              <w:pStyle w:val="1190"/>
              <w:ind w:left="0" w:right="-30" w:firstLine="0"/>
              <w:jc w:val="center"/>
            </w:pPr>
            <w:r>
              <w:rPr>
                <w:b/>
                <w:color w:val="000000"/>
              </w:rPr>
              <w:t xml:space="preserve">Всего: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  <w:rPr>
                <w:sz w:val="23"/>
                <w:szCs w:val="23"/>
              </w:rPr>
            </w:pPr>
            <w:r>
              <w:rPr>
                <w:rFonts w:cs="Times New Roman"/>
                <w:b/>
                <w:color w:val="000000"/>
                <w:sz w:val="23"/>
                <w:szCs w:val="23"/>
              </w:rPr>
              <w:t xml:space="preserve">831 441,4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117 651,4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80 456,6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97 339,6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111 001,1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32 583,1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top"/>
            <w:textDirection w:val="lrTb"/>
            <w:noWrap w:val="false"/>
          </w:tcPr>
          <w:p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14 538,1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453 569,9</w:t>
            </w:r>
            <w:r>
              <w:rPr>
                <w:sz w:val="23"/>
                <w:szCs w:val="23"/>
              </w:rPr>
            </w:r>
            <w:r/>
          </w:p>
        </w:tc>
      </w:tr>
      <w:tr>
        <w:trPr>
          <w:cantSplit/>
          <w:trHeight w:val="40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5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73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9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местный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358 457,3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32 490,6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34 220,5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33 291,7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35 050,8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32 445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14 400</w:t>
            </w:r>
            <w:r>
              <w:rPr>
                <w:color w:val="00000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181 898,6</w:t>
            </w:r>
            <w:r/>
          </w:p>
        </w:tc>
      </w:tr>
      <w:tr>
        <w:trPr>
          <w:cantSplit/>
          <w:trHeight w:val="46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5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73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9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областной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472 984,1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85 160,8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46 236,1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64 047,9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75 950,3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138,1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138,1</w:t>
            </w:r>
            <w:r>
              <w:rPr>
                <w:color w:val="00000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271 671,3</w:t>
            </w:r>
            <w:r/>
          </w:p>
        </w:tc>
      </w:tr>
      <w:tr>
        <w:trPr>
          <w:cantSplit/>
          <w:trHeight w:val="24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5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73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9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федеральный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  <w:spacing w:before="0" w:after="0" w:line="240" w:lineRule="auto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0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</w:tr>
      <w:tr>
        <w:trPr>
          <w:cantSplit/>
          <w:trHeight w:val="38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5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73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9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иные источники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  <w:spacing w:before="0" w:after="0" w:line="240" w:lineRule="auto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0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</w:tr>
      <w:tr>
        <w:trPr>
          <w:cantSplit/>
          <w:trHeight w:val="3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5" w:type="dxa"/>
            <w:vAlign w:val="center"/>
            <w:vMerge w:val="restart"/>
            <w:textDirection w:val="lrTb"/>
            <w:noWrap w:val="false"/>
          </w:tcPr>
          <w:p>
            <w:pPr>
              <w:pStyle w:val="1190"/>
              <w:ind w:left="0" w:right="-30" w:firstLine="0"/>
              <w:jc w:val="center"/>
            </w:pPr>
            <w:r>
              <w:rPr>
                <w:b/>
                <w:color w:val="000000"/>
              </w:rPr>
              <w:t xml:space="preserve">Подпрограмма 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73" w:type="dxa"/>
            <w:vAlign w:val="center"/>
            <w:vMerge w:val="restart"/>
            <w:textDirection w:val="lrTb"/>
            <w:noWrap w:val="false"/>
          </w:tcPr>
          <w:p>
            <w:pPr>
              <w:pStyle w:val="1190"/>
              <w:ind w:left="0" w:right="-30" w:firstLine="0"/>
              <w:jc w:val="center"/>
            </w:pPr>
            <w:r>
              <w:rPr>
                <w:b/>
                <w:color w:val="000000"/>
              </w:rPr>
              <w:t xml:space="preserve">«Совершенствование и развитие дорожной сети»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9" w:type="dxa"/>
            <w:vAlign w:val="center"/>
            <w:textDirection w:val="lrTb"/>
            <w:noWrap w:val="false"/>
          </w:tcPr>
          <w:p>
            <w:pPr>
              <w:pStyle w:val="1190"/>
              <w:ind w:left="0" w:right="-30" w:firstLine="0"/>
              <w:jc w:val="center"/>
            </w:pPr>
            <w:r>
              <w:rPr>
                <w:b/>
                <w:color w:val="000000"/>
              </w:rPr>
              <w:t xml:space="preserve">Всего: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  <w:rPr>
                <w:highlight w:val="yellow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  <w:highlight w:val="none"/>
              </w:rPr>
              <w:t xml:space="preserve">711 799,6</w:t>
            </w:r>
            <w:r>
              <w:rPr>
                <w:highlight w:val="yellow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</w:rPr>
              <w:t xml:space="preserve">105 484,4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</w:rPr>
              <w:t xml:space="preserve">68 243,3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rPr>
                <w:highlight w:val="white"/>
              </w:rPr>
            </w:pPr>
            <w:r>
              <w:rPr>
                <w:b/>
                <w:highlight w:val="white"/>
              </w:rPr>
              <w:t xml:space="preserve">83 599,9</w:t>
            </w:r>
            <w:r>
              <w:rPr>
                <w:highlight w:val="whit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rPr>
                <w:highlight w:val="white"/>
              </w:rPr>
            </w:pPr>
            <w:r>
              <w:rPr>
                <w:b/>
                <w:highlight w:val="white"/>
              </w:rPr>
              <w:t xml:space="preserve">95 637</w:t>
            </w:r>
            <w:r>
              <w:rPr>
                <w:highlight w:val="whit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</w:rPr>
              <w:t xml:space="preserve">18 624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top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14 400</w:t>
            </w:r>
            <w:r>
              <w:rPr>
                <w:b/>
                <w:bCs/>
                <w:color w:val="00000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385 988,6</w:t>
            </w:r>
            <w:r/>
          </w:p>
        </w:tc>
      </w:tr>
      <w:tr>
        <w:trPr>
          <w:cantSplit/>
          <w:trHeight w:val="32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5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73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9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местный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  <w:rPr>
                <w:highlight w:val="yellow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none"/>
              </w:rPr>
              <w:t xml:space="preserve">239 650,2</w:t>
            </w:r>
            <w:r>
              <w:rPr>
                <w:highlight w:val="yellow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20 422,6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22 126,5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19 700,</w:t>
            </w:r>
            <w:r>
              <w:rPr>
                <w:highlight w:val="white"/>
              </w:rPr>
              <w:t xml:space="preserve">3</w:t>
            </w:r>
            <w:r>
              <w:rPr>
                <w:highlight w:val="whit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19 824,8</w:t>
            </w:r>
            <w:r>
              <w:rPr>
                <w:highlight w:val="whit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18 624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14 400</w:t>
            </w:r>
            <w:r>
              <w:rPr>
                <w:color w:val="00000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115 098,2</w:t>
            </w:r>
            <w:r/>
          </w:p>
        </w:tc>
      </w:tr>
      <w:tr>
        <w:trPr>
          <w:cantSplit/>
          <w:trHeight w:val="30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5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73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9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областной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  <w:rPr>
                <w:highlight w:val="yellow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none"/>
              </w:rPr>
              <w:t xml:space="preserve">472 149.4</w:t>
            </w:r>
            <w:r>
              <w:rPr>
                <w:highlight w:val="yellow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85 061,8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46 116,8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63 899,</w:t>
            </w:r>
            <w:r>
              <w:rPr>
                <w:color w:val="000000"/>
                <w:highlight w:val="white"/>
              </w:rPr>
              <w:t xml:space="preserve">6</w:t>
            </w:r>
            <w:r>
              <w:rPr>
                <w:highlight w:val="whit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75 812,2</w:t>
            </w:r>
            <w:r>
              <w:rPr>
                <w:highlight w:val="whit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270 890,4</w:t>
            </w:r>
            <w:r/>
          </w:p>
        </w:tc>
      </w:tr>
      <w:tr>
        <w:trPr>
          <w:cantSplit/>
          <w:trHeight w:val="30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5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73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9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федеральный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0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</w:tr>
      <w:tr>
        <w:trPr>
          <w:cantSplit/>
          <w:trHeight w:val="30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5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73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9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иные источники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0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</w:tr>
      <w:tr>
        <w:trPr>
          <w:cantSplit/>
          <w:trHeight w:val="11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5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73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02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b/>
                <w:color w:val="000000"/>
              </w:rPr>
              <w:t xml:space="preserve">Задача 1. «</w:t>
            </w:r>
            <w:r>
              <w:rPr>
                <w:b/>
              </w:rPr>
              <w:t xml:space="preserve">Обеспече</w:t>
            </w:r>
            <w:r>
              <w:rPr>
                <w:b/>
              </w:rPr>
              <w:t xml:space="preserve">ние сохранности существующей сети автодорог  местного  значения, относящихся к улично-дорожной сети населенных пунктов  района, улучшение транспортно-эксплуатационных характеристик и потребительских свойств автодорог с целью снижения транспортных издержек.</w:t>
            </w:r>
            <w:r>
              <w:rPr>
                <w:b/>
                <w:color w:val="000000"/>
              </w:rPr>
            </w:r>
            <w:r/>
          </w:p>
        </w:tc>
      </w:tr>
      <w:tr>
        <w:trPr>
          <w:cantSplit/>
          <w:trHeight w:val="45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5" w:type="dxa"/>
            <w:vAlign w:val="center"/>
            <w:vMerge w:val="restart"/>
            <w:textDirection w:val="lrTb"/>
            <w:noWrap w:val="false"/>
          </w:tcPr>
          <w:p>
            <w:pPr>
              <w:pStyle w:val="1190"/>
              <w:ind w:left="0" w:right="-30" w:firstLine="0"/>
              <w:jc w:val="center"/>
            </w:pPr>
            <w:r>
              <w:rPr>
                <w:b/>
                <w:color w:val="000000"/>
              </w:rPr>
              <w:t xml:space="preserve">Основное</w:t>
            </w:r>
            <w:r/>
          </w:p>
          <w:p>
            <w:pPr>
              <w:pStyle w:val="1190"/>
              <w:ind w:left="0" w:right="-30" w:firstLine="0"/>
              <w:jc w:val="center"/>
            </w:pPr>
            <w:r>
              <w:rPr>
                <w:b/>
                <w:color w:val="000000"/>
              </w:rPr>
              <w:t xml:space="preserve">мероприятие 1.1.</w:t>
            </w:r>
            <w:r/>
          </w:p>
          <w:p>
            <w:pPr>
              <w:pStyle w:val="1190"/>
              <w:ind w:left="0" w:right="-30" w:firstLine="7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73" w:type="dxa"/>
            <w:vAlign w:val="center"/>
            <w:vMerge w:val="restart"/>
            <w:textDirection w:val="lrTb"/>
            <w:noWrap w:val="false"/>
          </w:tcPr>
          <w:p>
            <w:pPr>
              <w:pStyle w:val="1190"/>
              <w:ind w:left="0" w:right="-30" w:firstLine="0"/>
              <w:jc w:val="center"/>
            </w:pPr>
            <w:r>
              <w:rPr>
                <w:color w:val="000000"/>
              </w:rPr>
              <w:t xml:space="preserve">Содержание и ремонт автомобильных дорог местного значения и искусственных сооружений на них, относящихся  к улично-дорожной сети населенных пунктов района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9" w:type="dxa"/>
            <w:vAlign w:val="center"/>
            <w:textDirection w:val="lrTb"/>
            <w:noWrap w:val="false"/>
          </w:tcPr>
          <w:p>
            <w:pPr>
              <w:pStyle w:val="1190"/>
              <w:ind w:left="0" w:right="-30" w:firstLine="0"/>
              <w:jc w:val="center"/>
            </w:pPr>
            <w:r>
              <w:rPr>
                <w:b/>
                <w:color w:val="000000"/>
              </w:rPr>
              <w:t xml:space="preserve">Всего: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  <w:rPr>
                <w:highlight w:val="yellow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  <w:highlight w:val="none"/>
              </w:rPr>
              <w:t xml:space="preserve">240 400,9</w:t>
            </w:r>
            <w:r>
              <w:rPr>
                <w:highlight w:val="yellow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</w:rPr>
              <w:t xml:space="preserve">42 092,8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44 212,3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rPr>
                <w:highlight w:val="white"/>
              </w:rPr>
            </w:pPr>
            <w:r>
              <w:rPr>
                <w:b/>
                <w:color w:val="000000"/>
                <w:highlight w:val="white"/>
              </w:rPr>
              <w:t xml:space="preserve">17 841,8</w:t>
            </w:r>
            <w:r>
              <w:rPr>
                <w:highlight w:val="whit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18 713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18 004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13 780</w:t>
            </w:r>
            <w:r>
              <w:rPr>
                <w:b/>
                <w:bCs/>
                <w:color w:val="00000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154 643,9</w:t>
            </w:r>
            <w:r/>
          </w:p>
        </w:tc>
      </w:tr>
      <w:tr>
        <w:trPr>
          <w:cantSplit/>
          <w:trHeight w:val="29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5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73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9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местный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  <w:rPr>
                <w:highlight w:val="yellow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none"/>
              </w:rPr>
              <w:t xml:space="preserve">191 088,8</w:t>
            </w:r>
            <w:r>
              <w:rPr>
                <w:highlight w:val="yellow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17 594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20 336,5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16 904,3</w:t>
            </w:r>
            <w:r>
              <w:rPr>
                <w:highlight w:val="whit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18 713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18 004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13 780</w:t>
            </w:r>
            <w:r>
              <w:rPr>
                <w:color w:val="00000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105 331,8</w:t>
            </w:r>
            <w:r/>
          </w:p>
        </w:tc>
      </w:tr>
      <w:tr>
        <w:trPr>
          <w:cantSplit/>
          <w:trHeight w:val="36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5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73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9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областной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  <w:rPr>
                <w:highlight w:val="yellow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none"/>
              </w:rPr>
              <w:t xml:space="preserve">49 312,1</w:t>
            </w:r>
            <w:r>
              <w:rPr>
                <w:highlight w:val="yellow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24 498,8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23 875,8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937,5</w:t>
            </w:r>
            <w:r>
              <w:rPr>
                <w:highlight w:val="whit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49 312,1</w:t>
            </w:r>
            <w:r/>
          </w:p>
        </w:tc>
      </w:tr>
      <w:tr>
        <w:trPr>
          <w:cantSplit/>
          <w:trHeight w:val="50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5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73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9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федеральный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0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</w:tr>
      <w:tr>
        <w:trPr>
          <w:cantSplit/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5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73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9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иные источники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0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</w:tr>
      <w:tr>
        <w:trPr>
          <w:cantSplit/>
          <w:trHeight w:val="690"/>
        </w:trPr>
        <w:tc>
          <w:tcPr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4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Задача 2. «</w:t>
            </w:r>
            <w:r>
              <w:rPr>
                <w:b/>
              </w:rPr>
              <w:t xml:space="preserve">Обеспечение круглогодичной транспортной  доступности сельских населенных пунктов, обеспечение автодорогами с твердым покрытием улично-дорожной сети населенных пунктов, микрорайонов массовой жилищной застройки.</w:t>
            </w:r>
            <w:r/>
          </w:p>
        </w:tc>
      </w:tr>
      <w:tr>
        <w:trPr>
          <w:cantSplit/>
          <w:trHeight w:val="2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5" w:type="dxa"/>
            <w:vAlign w:val="center"/>
            <w:vMerge w:val="restart"/>
            <w:textDirection w:val="lrTb"/>
            <w:noWrap w:val="false"/>
          </w:tcPr>
          <w:p>
            <w:pPr>
              <w:pStyle w:val="1190"/>
              <w:ind w:left="0" w:right="-30" w:firstLine="0"/>
              <w:jc w:val="center"/>
            </w:pPr>
            <w:r>
              <w:rPr>
                <w:b/>
                <w:color w:val="000000"/>
              </w:rPr>
              <w:t xml:space="preserve">Основное</w:t>
            </w:r>
            <w:r/>
          </w:p>
          <w:p>
            <w:pPr>
              <w:pStyle w:val="1190"/>
              <w:ind w:left="0" w:right="-30" w:firstLine="0"/>
              <w:jc w:val="center"/>
            </w:pPr>
            <w:r>
              <w:rPr>
                <w:b/>
                <w:color w:val="000000"/>
              </w:rPr>
              <w:t xml:space="preserve">мероприятие 1.2.</w:t>
            </w:r>
            <w:r/>
          </w:p>
          <w:p>
            <w:pPr>
              <w:pStyle w:val="1190"/>
              <w:ind w:left="0" w:right="-30" w:firstLine="7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73" w:type="dxa"/>
            <w:vAlign w:val="center"/>
            <w:vMerge w:val="restart"/>
            <w:textDirection w:val="lrTb"/>
            <w:noWrap w:val="false"/>
          </w:tcPr>
          <w:p>
            <w:pPr>
              <w:pStyle w:val="1190"/>
              <w:ind w:left="0" w:right="-30" w:firstLine="0"/>
              <w:jc w:val="center"/>
            </w:pPr>
            <w:r>
              <w:rPr>
                <w:color w:val="000000"/>
              </w:rPr>
              <w:t xml:space="preserve">Капитальный ремонт и ремонт автомобильных дорог местного значения, относящихся  к улично-дорожной сети населенных пунктов района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9" w:type="dxa"/>
            <w:vAlign w:val="center"/>
            <w:textDirection w:val="lrTb"/>
            <w:noWrap w:val="false"/>
          </w:tcPr>
          <w:p>
            <w:pPr>
              <w:pStyle w:val="1190"/>
              <w:ind w:left="0" w:right="-30" w:firstLine="0"/>
              <w:jc w:val="center"/>
            </w:pPr>
            <w:r>
              <w:rPr>
                <w:b/>
                <w:color w:val="000000"/>
              </w:rPr>
              <w:t xml:space="preserve">Всего: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 xml:space="preserve">467 267,7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62 771,6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</w:rPr>
              <w:t xml:space="preserve">23 411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rPr>
                <w:highlight w:val="white"/>
              </w:rPr>
            </w:pPr>
            <w:r>
              <w:rPr>
                <w:b/>
                <w:highlight w:val="white"/>
              </w:rPr>
              <w:t xml:space="preserve">65 138,1</w:t>
            </w:r>
            <w:r>
              <w:rPr>
                <w:highlight w:val="whit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</w:rPr>
              <w:t xml:space="preserve">76 304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</w:t>
            </w:r>
            <w:r>
              <w:rPr>
                <w:b/>
                <w:bCs/>
                <w:color w:val="00000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227 624,7</w:t>
            </w:r>
            <w:r/>
          </w:p>
        </w:tc>
      </w:tr>
      <w:tr>
        <w:trPr>
          <w:cantSplit/>
          <w:trHeight w:val="30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5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73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9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местный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44 430,4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2 208,6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1 170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2 176</w:t>
            </w:r>
            <w:r>
              <w:rPr>
                <w:highlight w:val="whit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491,8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6 046,4</w:t>
            </w:r>
            <w:r/>
          </w:p>
        </w:tc>
      </w:tr>
      <w:tr>
        <w:trPr>
          <w:cantSplit/>
          <w:trHeight w:val="3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5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73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9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областной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422 837,3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60 563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22 241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62 962,1</w:t>
            </w:r>
            <w:r>
              <w:rPr>
                <w:highlight w:val="whit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75 812,2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221 578,3</w:t>
            </w:r>
            <w:r/>
          </w:p>
        </w:tc>
      </w:tr>
      <w:tr>
        <w:trPr>
          <w:cantSplit/>
          <w:trHeight w:val="29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5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73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9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федеральный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</w:tr>
      <w:tr>
        <w:trPr>
          <w:cantSplit/>
          <w:trHeight w:val="33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5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73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9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иные источники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</w:tr>
      <w:tr>
        <w:trPr>
          <w:cantSplit/>
          <w:trHeight w:val="4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5" w:type="dxa"/>
            <w:vAlign w:val="center"/>
            <w:vMerge w:val="restart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b/>
              </w:rPr>
              <w:t xml:space="preserve">Основное мероприятие 1.3.</w:t>
            </w:r>
            <w:r/>
          </w:p>
          <w:p>
            <w:pPr>
              <w:pStyle w:val="1190"/>
              <w:ind w:left="0" w:right="-30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73" w:type="dxa"/>
            <w:vAlign w:val="center"/>
            <w:vMerge w:val="restart"/>
            <w:textDirection w:val="lrTb"/>
            <w:noWrap w:val="false"/>
          </w:tcPr>
          <w:p>
            <w:pPr>
              <w:pStyle w:val="1190"/>
              <w:ind w:left="0" w:right="-30" w:firstLine="0"/>
              <w:jc w:val="center"/>
            </w:pPr>
            <w:r>
              <w:t xml:space="preserve">Субсидии на строительство (реконструкцию)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9" w:type="dxa"/>
            <w:vAlign w:val="center"/>
            <w:textDirection w:val="lrTb"/>
            <w:noWrap w:val="false"/>
          </w:tcPr>
          <w:p>
            <w:pPr>
              <w:pStyle w:val="1190"/>
              <w:ind w:left="0" w:right="-30" w:firstLine="0"/>
              <w:jc w:val="center"/>
            </w:pPr>
            <w:r>
              <w:rPr>
                <w:b/>
                <w:color w:val="000000"/>
              </w:rPr>
              <w:t xml:space="preserve">Всего: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0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" w:type="dxa"/>
            <w:vAlign w:val="center"/>
            <w:textDirection w:val="lrTb"/>
            <w:noWrap w:val="false"/>
          </w:tcPr>
          <w:p>
            <w:pPr>
              <w:pStyle w:val="1190"/>
              <w:ind w:left="0" w:right="0" w:hanging="20"/>
              <w:jc w:val="center"/>
            </w:pPr>
            <w:r>
              <w:rPr>
                <w:b/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vAlign w:val="center"/>
            <w:textDirection w:val="lrTb"/>
            <w:noWrap w:val="false"/>
          </w:tcPr>
          <w:p>
            <w:pPr>
              <w:pStyle w:val="1190"/>
              <w:ind w:left="0" w:right="0" w:hanging="20"/>
              <w:jc w:val="center"/>
            </w:pPr>
            <w:r>
              <w:rPr>
                <w:b/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center"/>
            <w:textDirection w:val="lrTb"/>
            <w:noWrap w:val="false"/>
          </w:tcPr>
          <w:p>
            <w:pPr>
              <w:pStyle w:val="1190"/>
              <w:ind w:left="0" w:right="0" w:hanging="27"/>
              <w:jc w:val="center"/>
            </w:pPr>
            <w:r>
              <w:rPr>
                <w:b/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0</w:t>
            </w:r>
            <w:r/>
          </w:p>
        </w:tc>
      </w:tr>
      <w:tr>
        <w:trPr>
          <w:cantSplit/>
          <w:trHeight w:val="33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5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73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9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местный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</w:tr>
      <w:tr>
        <w:trPr>
          <w:cantSplit/>
          <w:trHeight w:val="44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5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73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9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областной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</w:tr>
      <w:tr>
        <w:trPr>
          <w:cantSplit/>
          <w:trHeight w:val="3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5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73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9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федеральный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</w:tr>
      <w:tr>
        <w:trPr>
          <w:cantSplit/>
          <w:trHeight w:val="4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5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73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9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иные источники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</w:tr>
      <w:tr>
        <w:trPr>
          <w:cantSplit/>
          <w:trHeight w:val="910"/>
        </w:trPr>
        <w:tc>
          <w:tcPr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4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</w:rPr>
              <w:t xml:space="preserve">Задача 3. Обеспечение формирования  адресных программ повышения безопасности дорожного движения пешеходов, в т. ч. обустройство пешеходных переходов техническими средствами организации дорожного движения</w:t>
            </w:r>
            <w:r>
              <w:rPr>
                <w:b/>
              </w:rPr>
            </w:r>
            <w:r/>
          </w:p>
        </w:tc>
      </w:tr>
      <w:tr>
        <w:trPr>
          <w:cantSplit/>
          <w:trHeight w:val="37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5" w:type="dxa"/>
            <w:vAlign w:val="center"/>
            <w:vMerge w:val="restart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b/>
              </w:rPr>
              <w:t xml:space="preserve">Основное мероприятие 1.4.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73" w:type="dxa"/>
            <w:vAlign w:val="center"/>
            <w:vMerge w:val="restart"/>
            <w:textDirection w:val="lrTb"/>
            <w:noWrap w:val="false"/>
          </w:tcPr>
          <w:p>
            <w:pPr>
              <w:pStyle w:val="1190"/>
              <w:ind w:left="0" w:right="-30" w:firstLine="0"/>
              <w:jc w:val="center"/>
            </w:pPr>
            <w:r>
              <w:t xml:space="preserve">Установка новых дорожных знаков и строительство пешеходных тротуаров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9" w:type="dxa"/>
            <w:vAlign w:val="center"/>
            <w:textDirection w:val="lrTb"/>
            <w:noWrap w:val="false"/>
          </w:tcPr>
          <w:p>
            <w:pPr>
              <w:pStyle w:val="1190"/>
              <w:ind w:left="0" w:right="-30" w:firstLine="0"/>
              <w:jc w:val="center"/>
            </w:pPr>
            <w:r>
              <w:rPr>
                <w:b/>
                <w:color w:val="000000"/>
              </w:rPr>
              <w:t xml:space="preserve">Всего: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 xml:space="preserve">4 131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620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vAlign w:val="center"/>
            <w:textDirection w:val="lrTb"/>
            <w:noWrap w:val="false"/>
          </w:tcPr>
          <w:p>
            <w:pPr>
              <w:pStyle w:val="1190"/>
              <w:ind w:left="0" w:right="0" w:hanging="20"/>
              <w:jc w:val="center"/>
            </w:pPr>
            <w:r>
              <w:rPr>
                <w:b/>
                <w:color w:val="000000"/>
              </w:rPr>
              <w:t xml:space="preserve">620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vAlign w:val="center"/>
            <w:textDirection w:val="lrTb"/>
            <w:noWrap w:val="false"/>
          </w:tcPr>
          <w:p>
            <w:pPr>
              <w:pStyle w:val="1190"/>
              <w:ind w:left="0" w:right="0" w:hanging="20"/>
              <w:jc w:val="center"/>
            </w:pPr>
            <w:r>
              <w:rPr>
                <w:b/>
                <w:color w:val="000000"/>
              </w:rPr>
              <w:t xml:space="preserve">620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620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center"/>
            <w:textDirection w:val="lrTb"/>
            <w:noWrap w:val="false"/>
          </w:tcPr>
          <w:p>
            <w:pPr>
              <w:pStyle w:val="1190"/>
              <w:ind w:left="0" w:right="0" w:hanging="27"/>
              <w:jc w:val="center"/>
            </w:pPr>
            <w:r>
              <w:rPr>
                <w:b/>
                <w:color w:val="000000"/>
              </w:rPr>
              <w:t xml:space="preserve">620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pStyle w:val="1190"/>
              <w:ind w:left="0" w:right="0" w:hanging="27"/>
              <w:jc w:val="center"/>
            </w:pPr>
            <w:r>
              <w:rPr>
                <w:b/>
                <w:color w:val="000000"/>
              </w:rPr>
              <w:t xml:space="preserve">620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3 720</w:t>
            </w:r>
            <w:r/>
          </w:p>
        </w:tc>
      </w:tr>
      <w:tr>
        <w:trPr>
          <w:cantSplit/>
          <w:trHeight w:val="37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5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73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9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местный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  <w:spacing w:before="0" w:after="0" w:line="240" w:lineRule="auto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4 131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620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620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620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620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620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620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3 720</w:t>
            </w:r>
            <w:r/>
          </w:p>
        </w:tc>
      </w:tr>
      <w:tr>
        <w:trPr>
          <w:cantSplit/>
          <w:trHeight w:val="37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5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73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9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областной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0 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 </w:t>
            </w:r>
            <w:r/>
          </w:p>
        </w:tc>
      </w:tr>
      <w:tr>
        <w:trPr>
          <w:cantSplit/>
          <w:trHeight w:val="37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5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73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9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федеральный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0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</w:tr>
      <w:tr>
        <w:trPr>
          <w:cantSplit/>
          <w:trHeight w:val="37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5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73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9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иные источники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0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</w:tr>
      <w:tr>
        <w:trPr>
          <w:cantSplit/>
          <w:trHeight w:val="37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5" w:type="dxa"/>
            <w:vAlign w:val="center"/>
            <w:vMerge w:val="restart"/>
            <w:textDirection w:val="lrTb"/>
            <w:noWrap w:val="false"/>
          </w:tcPr>
          <w:p>
            <w:pPr>
              <w:pStyle w:val="1190"/>
              <w:ind w:left="0" w:right="-30" w:firstLine="0"/>
              <w:jc w:val="center"/>
            </w:pPr>
            <w:r>
              <w:rPr>
                <w:b/>
                <w:color w:val="000000"/>
              </w:rPr>
              <w:t xml:space="preserve">Подпрограмма 2</w:t>
            </w:r>
            <w:r/>
          </w:p>
          <w:p>
            <w:pPr>
              <w:pStyle w:val="1190"/>
              <w:ind w:left="0" w:right="-30" w:firstLine="7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73" w:type="dxa"/>
            <w:vAlign w:val="center"/>
            <w:vMerge w:val="restart"/>
            <w:textDirection w:val="lrTb"/>
            <w:noWrap w:val="false"/>
          </w:tcPr>
          <w:p>
            <w:pPr>
              <w:pStyle w:val="1190"/>
              <w:ind w:left="0" w:right="-30" w:firstLine="0"/>
              <w:jc w:val="center"/>
            </w:pPr>
            <w:r>
              <w:rPr>
                <w:b/>
                <w:color w:val="000000"/>
              </w:rPr>
              <w:t xml:space="preserve">«Совершенствование и развитие транспортной системы Чернянского района»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9" w:type="dxa"/>
            <w:vAlign w:val="center"/>
            <w:textDirection w:val="lrTb"/>
            <w:noWrap w:val="false"/>
          </w:tcPr>
          <w:p>
            <w:pPr>
              <w:pStyle w:val="1190"/>
              <w:ind w:left="0" w:right="-30" w:firstLine="0"/>
              <w:jc w:val="center"/>
            </w:pPr>
            <w:r>
              <w:rPr>
                <w:b/>
                <w:color w:val="000000"/>
              </w:rPr>
              <w:t xml:space="preserve">Всего: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  <w:rPr>
                <w:highlight w:val="yellow"/>
              </w:rPr>
            </w:pPr>
            <w:r>
              <w:rPr>
                <w:rFonts w:cs="Times New Roman"/>
                <w:b/>
                <w:sz w:val="24"/>
                <w:szCs w:val="24"/>
                <w:highlight w:val="none"/>
              </w:rPr>
              <w:t xml:space="preserve">119 641,8</w:t>
            </w:r>
            <w:r>
              <w:rPr>
                <w:highlight w:val="yellow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</w:rPr>
              <w:t xml:space="preserve">12 167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</w:rPr>
              <w:t xml:space="preserve">12 213,3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</w:rPr>
              <w:t xml:space="preserve">13 739,7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</w:rPr>
              <w:t xml:space="preserve">15 364,1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</w:rPr>
              <w:t xml:space="preserve">13 959,1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top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138,1</w:t>
            </w:r>
            <w:r>
              <w:rPr>
                <w:b/>
                <w:bCs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</w:rPr>
              <w:t xml:space="preserve">67 581,3</w:t>
            </w:r>
            <w:r/>
          </w:p>
        </w:tc>
      </w:tr>
      <w:tr>
        <w:trPr>
          <w:cantSplit/>
          <w:trHeight w:val="23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5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73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9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местный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  <w:rPr>
                <w:highlight w:val="yellow"/>
              </w:rPr>
            </w:pPr>
            <w:r>
              <w:rPr>
                <w:rFonts w:cs="Times New Roman"/>
                <w:sz w:val="24"/>
                <w:szCs w:val="24"/>
                <w:highlight w:val="none"/>
              </w:rPr>
              <w:t xml:space="preserve">118 807,1</w:t>
            </w:r>
            <w:r>
              <w:rPr>
                <w:highlight w:val="yellow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12 068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12 094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13 591,1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15 226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13 821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top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66 800,1</w:t>
            </w:r>
            <w:r/>
          </w:p>
        </w:tc>
      </w:tr>
      <w:tr>
        <w:trPr>
          <w:cantSplit/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5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73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9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областной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  <w:rPr>
                <w:highlight w:val="yellow"/>
              </w:rPr>
            </w:pPr>
            <w:r>
              <w:rPr>
                <w:rFonts w:cs="Times New Roman"/>
                <w:sz w:val="24"/>
                <w:szCs w:val="24"/>
                <w:highlight w:val="none"/>
              </w:rPr>
              <w:t xml:space="preserve">834,7</w:t>
            </w:r>
            <w:r>
              <w:rPr>
                <w:highlight w:val="yellow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99</w:t>
            </w:r>
            <w:r>
              <w:rPr>
                <w:highlight w:val="whit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119,3</w:t>
            </w:r>
            <w:r>
              <w:rPr>
                <w:highlight w:val="whit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148,6</w:t>
            </w:r>
            <w:r>
              <w:rPr>
                <w:highlight w:val="whit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138,1</w:t>
            </w:r>
            <w:r>
              <w:rPr>
                <w:highlight w:val="whit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138,1</w:t>
            </w:r>
            <w:r>
              <w:rPr>
                <w:highlight w:val="whit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138,1</w:t>
            </w:r>
            <w:r>
              <w:rPr>
                <w:highlight w:val="whit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781,2</w:t>
            </w:r>
            <w:r>
              <w:rPr>
                <w:highlight w:val="white"/>
              </w:rPr>
            </w:r>
            <w:r/>
          </w:p>
        </w:tc>
      </w:tr>
      <w:tr>
        <w:trPr>
          <w:cantSplit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5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73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9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федеральный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  <w:spacing w:before="0" w:after="0" w:line="240" w:lineRule="auto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0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</w:tr>
      <w:tr>
        <w:trPr>
          <w:cantSplit/>
          <w:trHeight w:val="3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5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73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9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иные источники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  <w:spacing w:before="0" w:after="0" w:line="240" w:lineRule="auto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0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</w:tr>
      <w:tr>
        <w:trPr>
          <w:cantSplit/>
          <w:trHeight w:val="197"/>
        </w:trPr>
        <w:tc>
          <w:tcPr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4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Задача 1. «Создание условий для организации транспортного обслуживания населения»</w:t>
            </w:r>
            <w:r>
              <w:rPr>
                <w:b/>
                <w:color w:val="000000"/>
              </w:rPr>
            </w:r>
            <w:r/>
          </w:p>
        </w:tc>
      </w:tr>
      <w:tr>
        <w:trPr>
          <w:cantSplit/>
          <w:trHeight w:val="29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5" w:type="dxa"/>
            <w:vAlign w:val="center"/>
            <w:vMerge w:val="restart"/>
            <w:textDirection w:val="lrTb"/>
            <w:noWrap w:val="false"/>
          </w:tcPr>
          <w:p>
            <w:pPr>
              <w:pStyle w:val="1190"/>
              <w:ind w:left="0" w:right="-30" w:firstLine="0"/>
              <w:jc w:val="center"/>
            </w:pPr>
            <w:r>
              <w:rPr>
                <w:b/>
                <w:color w:val="000000"/>
              </w:rPr>
              <w:t xml:space="preserve">Основное</w:t>
            </w:r>
            <w:r/>
          </w:p>
          <w:p>
            <w:pPr>
              <w:pStyle w:val="1190"/>
              <w:ind w:left="0" w:right="-30" w:firstLine="0"/>
              <w:jc w:val="center"/>
            </w:pPr>
            <w:r>
              <w:rPr>
                <w:b/>
                <w:color w:val="000000"/>
              </w:rPr>
              <w:t xml:space="preserve">мероприятие 2.1.</w:t>
            </w:r>
            <w:r/>
          </w:p>
          <w:p>
            <w:pPr>
              <w:pStyle w:val="1190"/>
              <w:ind w:left="0" w:right="-30" w:firstLine="7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73" w:type="dxa"/>
            <w:vAlign w:val="center"/>
            <w:vMerge w:val="restart"/>
            <w:textDirection w:val="lrTb"/>
            <w:noWrap w:val="false"/>
          </w:tcPr>
          <w:p>
            <w:pPr>
              <w:pStyle w:val="1190"/>
              <w:ind w:left="0" w:right="-30" w:firstLine="0"/>
              <w:jc w:val="center"/>
            </w:pPr>
            <w:r>
              <w:t xml:space="preserve">Средства на проезд студентов, аспирантов и учащихся учебных заведений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9" w:type="dxa"/>
            <w:vAlign w:val="center"/>
            <w:textDirection w:val="lrTb"/>
            <w:noWrap w:val="false"/>
          </w:tcPr>
          <w:p>
            <w:pPr>
              <w:pStyle w:val="1190"/>
              <w:ind w:left="0" w:right="-30" w:firstLine="0"/>
              <w:jc w:val="center"/>
            </w:pPr>
            <w:r>
              <w:rPr>
                <w:b/>
                <w:color w:val="000000"/>
              </w:rPr>
              <w:t xml:space="preserve">Всего: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 xml:space="preserve">2 455,4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116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109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36,1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138,1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138,1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138,1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675,4</w:t>
            </w:r>
            <w:r/>
          </w:p>
        </w:tc>
      </w:tr>
      <w:tr>
        <w:trPr>
          <w:cantSplit/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5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73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9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местный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2 041,1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116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109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36,1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261,1</w:t>
            </w:r>
            <w:r/>
          </w:p>
        </w:tc>
      </w:tr>
      <w:tr>
        <w:trPr>
          <w:cantSplit/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5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73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9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областной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414,3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138,1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138,1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138,1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414,3</w:t>
            </w:r>
            <w:r/>
          </w:p>
        </w:tc>
      </w:tr>
      <w:tr>
        <w:trPr>
          <w:cantSplit/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5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73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9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федеральный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  <w:spacing w:before="0" w:after="0" w:line="240" w:lineRule="auto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0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</w:tr>
      <w:tr>
        <w:trPr>
          <w:cantSplit/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5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73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9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иные источники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  <w:spacing w:before="0" w:after="0" w:line="240" w:lineRule="auto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0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</w:tr>
      <w:tr>
        <w:trPr>
          <w:cantSplit/>
          <w:trHeight w:val="16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5" w:type="dxa"/>
            <w:vAlign w:val="center"/>
            <w:vMerge w:val="restart"/>
            <w:textDirection w:val="lrTb"/>
            <w:noWrap w:val="false"/>
          </w:tcPr>
          <w:p>
            <w:pPr>
              <w:pStyle w:val="1190"/>
              <w:ind w:left="0" w:right="-30" w:firstLine="0"/>
              <w:jc w:val="center"/>
            </w:pPr>
            <w:r>
              <w:rPr>
                <w:b/>
                <w:color w:val="000000"/>
              </w:rPr>
              <w:t xml:space="preserve">Основное</w:t>
            </w:r>
            <w:r/>
          </w:p>
          <w:p>
            <w:pPr>
              <w:pStyle w:val="1190"/>
              <w:ind w:left="0" w:right="-30" w:firstLine="0"/>
              <w:jc w:val="center"/>
            </w:pPr>
            <w:r>
              <w:rPr>
                <w:b/>
                <w:color w:val="000000"/>
              </w:rPr>
              <w:t xml:space="preserve">мероприятие 2.2.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73" w:type="dxa"/>
            <w:vAlign w:val="center"/>
            <w:vMerge w:val="restart"/>
            <w:textDirection w:val="lrTb"/>
            <w:noWrap w:val="false"/>
          </w:tcPr>
          <w:p>
            <w:pPr>
              <w:pStyle w:val="1190"/>
              <w:ind w:left="0" w:right="-30" w:firstLine="0"/>
              <w:jc w:val="center"/>
            </w:pPr>
            <w:r>
              <w:rPr>
                <w:color w:val="000000"/>
              </w:rPr>
              <w:t xml:space="preserve">Средства на покрытие убытков  по организации транспортного обслуживания на внутримуниципальном пригородном сообщении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9" w:type="dxa"/>
            <w:vAlign w:val="center"/>
            <w:textDirection w:val="lrTb"/>
            <w:noWrap w:val="false"/>
          </w:tcPr>
          <w:p>
            <w:pPr>
              <w:pStyle w:val="1190"/>
              <w:ind w:left="0" w:right="-30" w:firstLine="0"/>
              <w:jc w:val="center"/>
            </w:pPr>
            <w:r>
              <w:rPr>
                <w:b/>
                <w:color w:val="000000"/>
              </w:rPr>
              <w:t xml:space="preserve">Всего: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 xml:space="preserve">117 186,4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12 051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12 104,3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13 703,6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15 226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</w:rPr>
              <w:t xml:space="preserve">13 821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</w:t>
            </w:r>
            <w:r>
              <w:rPr>
                <w:b/>
                <w:bCs/>
                <w:color w:val="00000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</w:rPr>
              <w:t xml:space="preserve">66 905,9</w:t>
            </w:r>
            <w:r/>
          </w:p>
        </w:tc>
      </w:tr>
      <w:tr>
        <w:trPr>
          <w:cantSplit/>
          <w:trHeight w:val="2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5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73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9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местный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116 766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11 952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11 985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13 555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15 226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13 821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66 539</w:t>
            </w:r>
            <w:r/>
          </w:p>
        </w:tc>
      </w:tr>
      <w:tr>
        <w:trPr>
          <w:cantSplit/>
          <w:trHeight w:val="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5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73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9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областной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spacing w:before="0" w:after="0" w:line="240" w:lineRule="auto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420,4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99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119,3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148,6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366,9</w:t>
            </w:r>
            <w:r/>
          </w:p>
        </w:tc>
      </w:tr>
      <w:tr>
        <w:trPr>
          <w:cantSplit/>
          <w:trHeight w:val="1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5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73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9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федеральный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  <w:spacing w:before="0" w:after="0" w:line="240" w:lineRule="auto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0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</w:tr>
      <w:tr>
        <w:trPr>
          <w:cantSplit/>
          <w:trHeight w:val="3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5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73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9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иные источники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  <w:spacing w:before="0" w:after="0" w:line="240" w:lineRule="auto"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0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6" w:type="dxa"/>
            <w:vAlign w:val="center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</w:tr>
    </w:tbl>
    <w:p>
      <w:pPr>
        <w:pStyle w:val="1234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pStyle w:val="1234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pStyle w:val="1234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pStyle w:val="1234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pStyle w:val="1234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/>
    </w:p>
    <w:p>
      <w:pPr>
        <w:pStyle w:val="1234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/>
    </w:p>
    <w:p>
      <w:pPr>
        <w:pStyle w:val="1234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/>
    </w:p>
    <w:p>
      <w:pPr>
        <w:pStyle w:val="1234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/>
    </w:p>
    <w:p>
      <w:pPr>
        <w:pStyle w:val="1234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/>
    </w:p>
    <w:p>
      <w:pPr>
        <w:pStyle w:val="1234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/>
    </w:p>
    <w:p>
      <w:pPr>
        <w:pStyle w:val="1234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/>
    </w:p>
    <w:p>
      <w:pPr>
        <w:pStyle w:val="1234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pStyle w:val="1234"/>
        <w:jc w:val="right"/>
      </w:pPr>
      <w:r>
        <w:rPr>
          <w:rFonts w:ascii="Times New Roman" w:hAnsi="Times New Roman" w:cs="Times New Roman"/>
          <w:b/>
          <w:sz w:val="28"/>
          <w:szCs w:val="28"/>
        </w:rPr>
        <w:t xml:space="preserve">Приложение № 4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к муниципальной программе                                                                                                                                           </w:t>
      </w:r>
      <w:r/>
    </w:p>
    <w:p>
      <w:pPr>
        <w:pStyle w:val="1190"/>
        <w:jc w:val="right"/>
      </w:pPr>
      <w:r>
        <w:rPr>
          <w:b/>
          <w:sz w:val="28"/>
          <w:szCs w:val="28"/>
        </w:rPr>
        <w:t xml:space="preserve">Чернянского района «Совершенствование и развитие</w:t>
      </w:r>
      <w:r/>
    </w:p>
    <w:p>
      <w:pPr>
        <w:pStyle w:val="1234"/>
        <w:numPr>
          <w:ilvl w:val="0"/>
          <w:numId w:val="0"/>
        </w:numPr>
        <w:ind w:left="0" w:right="0" w:firstLine="720"/>
        <w:jc w:val="right"/>
        <w:outlineLvl w:val="2"/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транспортной системы и  </w:t>
      </w:r>
      <w:r/>
    </w:p>
    <w:p>
      <w:pPr>
        <w:pStyle w:val="1234"/>
        <w:numPr>
          <w:ilvl w:val="0"/>
          <w:numId w:val="0"/>
        </w:numPr>
        <w:ind w:left="0" w:right="0" w:firstLine="720"/>
        <w:jc w:val="right"/>
        <w:outlineLvl w:val="2"/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дорожной сети Чернянского района</w:t>
      </w:r>
      <w:r/>
    </w:p>
    <w:p>
      <w:pPr>
        <w:pStyle w:val="1234"/>
        <w:numPr>
          <w:ilvl w:val="0"/>
          <w:numId w:val="0"/>
        </w:numPr>
        <w:ind w:left="0" w:right="0" w:firstLine="720"/>
        <w:jc w:val="right"/>
        <w:outlineLvl w:val="2"/>
      </w:pPr>
      <w:r>
        <w:rPr>
          <w:rFonts w:ascii="Times New Roman" w:hAnsi="Times New Roman" w:cs="Times New Roman"/>
          <w:b/>
          <w:sz w:val="28"/>
          <w:szCs w:val="28"/>
        </w:rPr>
        <w:t xml:space="preserve">Белгородской области» </w:t>
      </w:r>
      <w:r/>
    </w:p>
    <w:p>
      <w:pPr>
        <w:pStyle w:val="1234"/>
        <w:numPr>
          <w:ilvl w:val="0"/>
          <w:numId w:val="0"/>
        </w:numPr>
        <w:ind w:left="0" w:right="0" w:firstLine="720"/>
        <w:jc w:val="right"/>
        <w:outlineLvl w:val="2"/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</w:t>
      </w:r>
      <w:r/>
    </w:p>
    <w:p>
      <w:pPr>
        <w:pStyle w:val="1234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pStyle w:val="1234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Ресурсное обеспечение реализации муниципальной программы </w:t>
      </w:r>
      <w:r/>
    </w:p>
    <w:p>
      <w:pPr>
        <w:pStyle w:val="1234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за счет средств местного бюджета на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I</w:t>
      </w:r>
      <w:r>
        <w:rPr>
          <w:rFonts w:ascii="Times New Roman" w:hAnsi="Times New Roman" w:cs="Times New Roman"/>
          <w:b/>
          <w:sz w:val="28"/>
          <w:szCs w:val="28"/>
        </w:rPr>
        <w:t xml:space="preserve"> этап реализации</w:t>
      </w:r>
      <w:r/>
    </w:p>
    <w:p>
      <w:pPr>
        <w:pStyle w:val="12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/>
    </w:p>
    <w:tbl>
      <w:tblPr>
        <w:tblW w:w="0" w:type="auto"/>
        <w:tblInd w:w="-284" w:type="dxa"/>
        <w:tblLayout w:type="fixed"/>
        <w:tblCellMar>
          <w:left w:w="75" w:type="dxa"/>
          <w:top w:w="0" w:type="dxa"/>
          <w:right w:w="75" w:type="dxa"/>
          <w:bottom w:w="0" w:type="dxa"/>
        </w:tblCellMar>
        <w:tblLook w:val="04A0" w:firstRow="1" w:lastRow="0" w:firstColumn="1" w:lastColumn="0" w:noHBand="0" w:noVBand="1"/>
      </w:tblPr>
      <w:tblGrid>
        <w:gridCol w:w="1135"/>
        <w:gridCol w:w="2780"/>
        <w:gridCol w:w="1985"/>
        <w:gridCol w:w="764"/>
        <w:gridCol w:w="708"/>
        <w:gridCol w:w="709"/>
        <w:gridCol w:w="567"/>
        <w:gridCol w:w="992"/>
        <w:gridCol w:w="880"/>
        <w:gridCol w:w="880"/>
        <w:gridCol w:w="791"/>
        <w:gridCol w:w="829"/>
        <w:gridCol w:w="880"/>
        <w:gridCol w:w="815"/>
        <w:gridCol w:w="815"/>
      </w:tblGrid>
      <w:tr>
        <w:trPr>
          <w:trHeight w:val="54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top"/>
            <w:vMerge w:val="restart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Статус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Align w:val="top"/>
            <w:vMerge w:val="restart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 </w:t>
              <w:br w:type="textWrapping" w:clear="all"/>
              <w:t xml:space="preserve">муниципальной программы, </w:t>
              <w:br w:type="textWrapping" w:clear="all"/>
              <w:t xml:space="preserve">подпрограммы,   </w:t>
              <w:br w:type="textWrapping" w:clear="all"/>
              <w:t xml:space="preserve">основного </w:t>
              <w:br w:type="textWrapping" w:clear="all"/>
              <w:t xml:space="preserve">мероприятия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top"/>
            <w:vMerge w:val="restart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</w:t>
              <w:br w:type="textWrapping" w:clear="all"/>
              <w:t xml:space="preserve"> исполнитель,  </w:t>
              <w:br w:type="textWrapping" w:clear="all"/>
              <w:t xml:space="preserve">соисполнители, </w:t>
              <w:br w:type="textWrapping" w:clear="all"/>
              <w:t xml:space="preserve">участники</w:t>
            </w:r>
            <w:r/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8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Код бюджетной классификации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92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Общий объем финансирования, тыс. рублей</w:t>
            </w:r>
            <w:r/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5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Расходы (тыс. рублей),  </w:t>
              <w:br w:type="textWrapping" w:clear="all"/>
              <w:t xml:space="preserve">           годы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815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Итого на </w:t>
            </w:r>
            <w:r>
              <w:rPr>
                <w:lang w:val="en-US"/>
              </w:rPr>
              <w:t xml:space="preserve">I</w:t>
            </w:r>
            <w:r>
              <w:t xml:space="preserve"> этап (2015-2020 годы)</w:t>
            </w:r>
            <w:r/>
          </w:p>
        </w:tc>
      </w:tr>
      <w:tr>
        <w:trPr>
          <w:trHeight w:val="108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4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ГРБС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Рз, </w:t>
              <w:br w:type="textWrapping" w:clear="all"/>
              <w:t xml:space="preserve">Пр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ЦСР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ВР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92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2015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2016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1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2017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2018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top"/>
            <w:textDirection w:val="lrTb"/>
            <w:noWrap w:val="false"/>
          </w:tcPr>
          <w:p>
            <w:pPr>
              <w:pStyle w:val="1190"/>
              <w:ind w:left="-455" w:right="0" w:firstLine="455"/>
              <w:jc w:val="center"/>
            </w:pPr>
            <w:r>
              <w:rPr>
                <w:color w:val="000000"/>
              </w:rPr>
              <w:t xml:space="preserve">2019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2020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815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</w:tr>
      <w:tr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4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5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1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11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12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13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14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15</w:t>
            </w:r>
            <w:r/>
          </w:p>
        </w:tc>
      </w:tr>
      <w:tr>
        <w:trPr>
          <w:trHeight w:val="5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top"/>
            <w:vMerge w:val="restart"/>
            <w:textDirection w:val="lrTb"/>
            <w:noWrap w:val="false"/>
          </w:tcPr>
          <w:p>
            <w:pPr>
              <w:pStyle w:val="1239"/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Муниципальная    </w:t>
              <w:br w:type="textWrapping" w:clear="all"/>
              <w:t xml:space="preserve">программа  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b/>
              </w:rPr>
              <w:t xml:space="preserve">«Муниципальная программа «Совершенствование и развитие</w:t>
            </w:r>
            <w:r/>
          </w:p>
          <w:p>
            <w:pPr>
              <w:pStyle w:val="1190"/>
              <w:jc w:val="center"/>
              <w:widowControl w:val="off"/>
            </w:pPr>
            <w:r>
              <w:rPr>
                <w:b/>
              </w:rPr>
              <w:t xml:space="preserve">транспортной системы и дорожной сети Чернянского района Белгородской области»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top"/>
            <w:textDirection w:val="lrTb"/>
            <w:noWrap w:val="false"/>
          </w:tcPr>
          <w:p>
            <w:pPr>
              <w:pStyle w:val="1239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Всего, в том   </w:t>
              <w:br w:type="textWrapping" w:clear="all"/>
              <w:t xml:space="preserve">числе:         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4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Х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Х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  <w:sz w:val="20"/>
                <w:szCs w:val="20"/>
              </w:rPr>
              <w:t xml:space="preserve">340 266,1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color w:val="000000"/>
                <w:sz w:val="20"/>
                <w:szCs w:val="20"/>
              </w:rPr>
              <w:t xml:space="preserve">22 362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sz w:val="20"/>
                <w:szCs w:val="20"/>
              </w:rPr>
              <w:t xml:space="preserve">24 991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1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sz w:val="20"/>
                <w:szCs w:val="20"/>
              </w:rPr>
              <w:t xml:space="preserve">25 280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sz w:val="20"/>
                <w:szCs w:val="20"/>
              </w:rPr>
              <w:t xml:space="preserve">28 714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sz w:val="20"/>
                <w:szCs w:val="20"/>
              </w:rPr>
              <w:t xml:space="preserve">34 541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sz w:val="20"/>
                <w:szCs w:val="20"/>
              </w:rPr>
              <w:t xml:space="preserve">40 671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b/>
                <w:sz w:val="20"/>
                <w:szCs w:val="20"/>
              </w:rPr>
              <w:t xml:space="preserve">176 559</w:t>
            </w:r>
            <w:r/>
          </w:p>
        </w:tc>
      </w:tr>
      <w:tr>
        <w:trPr>
          <w:trHeight w:val="4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85" w:type="dxa"/>
            <w:vAlign w:val="top"/>
            <w:vMerge w:val="restart"/>
            <w:textDirection w:val="lrTb"/>
            <w:noWrap w:val="false"/>
          </w:tcPr>
          <w:p>
            <w:pPr>
              <w:pStyle w:val="1239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МКУ «Управление строительства, транспорта связи и ЖКХ» Чернянского района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4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1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  <w:r/>
          </w:p>
        </w:tc>
      </w:tr>
      <w:tr>
        <w:trPr>
          <w:trHeight w:val="102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85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4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1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  <w:r/>
          </w:p>
        </w:tc>
      </w:tr>
      <w:tr>
        <w:trPr>
          <w:trHeight w:val="36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top"/>
            <w:vMerge w:val="restart"/>
            <w:textDirection w:val="lrTb"/>
            <w:noWrap w:val="false"/>
          </w:tcPr>
          <w:p>
            <w:pPr>
              <w:pStyle w:val="1239"/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Подпрограмма 1           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Align w:val="top"/>
            <w:vMerge w:val="restart"/>
            <w:textDirection w:val="lrTb"/>
            <w:noWrap w:val="false"/>
          </w:tcPr>
          <w:p>
            <w:pPr>
              <w:pStyle w:val="1239"/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«Совершенствование и развитие дорожной сети»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top"/>
            <w:textDirection w:val="lrTb"/>
            <w:noWrap w:val="false"/>
          </w:tcPr>
          <w:p>
            <w:pPr>
              <w:pStyle w:val="1239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Всего, в том числе:          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4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860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0409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244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  <w:sz w:val="20"/>
                <w:szCs w:val="20"/>
              </w:rPr>
              <w:t xml:space="preserve">224 230,1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  <w:sz w:val="20"/>
                <w:szCs w:val="20"/>
              </w:rPr>
              <w:t xml:space="preserve">15 815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0"/>
                <w:szCs w:val="20"/>
              </w:rPr>
              <w:t xml:space="preserve">18 827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1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0"/>
                <w:szCs w:val="20"/>
              </w:rPr>
              <w:t xml:space="preserve">18 415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0"/>
                <w:szCs w:val="20"/>
              </w:rPr>
              <w:t xml:space="preserve">20 073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0"/>
                <w:szCs w:val="20"/>
              </w:rPr>
              <w:t xml:space="preserve">22 453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0"/>
                <w:szCs w:val="20"/>
              </w:rPr>
              <w:t xml:space="preserve">28 969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0"/>
                <w:szCs w:val="20"/>
              </w:rPr>
              <w:t xml:space="preserve">124 552</w:t>
            </w:r>
            <w:r/>
          </w:p>
        </w:tc>
      </w:tr>
      <w:tr>
        <w:trPr>
          <w:trHeight w:val="9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85" w:type="dxa"/>
            <w:vAlign w:val="top"/>
            <w:vMerge w:val="restart"/>
            <w:textDirection w:val="lrTb"/>
            <w:noWrap w:val="false"/>
          </w:tcPr>
          <w:p>
            <w:pPr>
              <w:pStyle w:val="1239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МКУ «Управление строительства, транспорта связи и ЖКХ» Чернянского района  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4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860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0409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244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  <w:sz w:val="20"/>
                <w:szCs w:val="20"/>
              </w:rPr>
              <w:t xml:space="preserve">224 230,1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  <w:sz w:val="20"/>
                <w:szCs w:val="20"/>
              </w:rPr>
              <w:t xml:space="preserve">15 815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0"/>
                <w:szCs w:val="20"/>
              </w:rPr>
              <w:t xml:space="preserve">18 827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1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0"/>
                <w:szCs w:val="20"/>
              </w:rPr>
              <w:t xml:space="preserve">18 415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0"/>
                <w:szCs w:val="20"/>
              </w:rPr>
              <w:t xml:space="preserve">20 073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0"/>
                <w:szCs w:val="20"/>
              </w:rPr>
              <w:t xml:space="preserve">22 453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0"/>
                <w:szCs w:val="20"/>
              </w:rPr>
              <w:t xml:space="preserve">28 969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0"/>
                <w:szCs w:val="20"/>
              </w:rPr>
              <w:t xml:space="preserve">124 552</w:t>
            </w:r>
            <w:r/>
          </w:p>
        </w:tc>
      </w:tr>
      <w:tr>
        <w:trPr>
          <w:trHeight w:val="36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85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4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1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85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4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1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  <w:r/>
          </w:p>
        </w:tc>
      </w:tr>
      <w:tr>
        <w:trPr>
          <w:trHeight w:val="201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top"/>
            <w:textDirection w:val="lrTb"/>
            <w:noWrap w:val="false"/>
          </w:tcPr>
          <w:p>
            <w:pPr>
              <w:pStyle w:val="1239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Основное    </w:t>
              <w:br w:type="textWrapping" w:clear="all"/>
              <w:t xml:space="preserve">мероприятие 1.1.        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Align w:val="top"/>
            <w:textDirection w:val="lrTb"/>
            <w:noWrap w:val="false"/>
          </w:tcPr>
          <w:p>
            <w:pPr>
              <w:pStyle w:val="1239"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Содержание и ремонт автомобильных дорог местного значения и искусственных сооружений на них, относящихся  к улично-дорожной сети населенных пунктов района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85" w:type="dxa"/>
            <w:vAlign w:val="top"/>
            <w:textDirection w:val="lrTb"/>
            <w:noWrap w:val="false"/>
          </w:tcPr>
          <w:p>
            <w:pPr>
              <w:pStyle w:val="1239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МКУ «Управление строительства, транспорта связи и ЖКХ» Чернянского района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4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860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0409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0410120570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244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  <w:sz w:val="20"/>
                <w:szCs w:val="20"/>
              </w:rPr>
              <w:t xml:space="preserve">177 314,5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  <w:sz w:val="20"/>
                <w:szCs w:val="20"/>
              </w:rPr>
              <w:t xml:space="preserve">8 801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  <w:sz w:val="20"/>
                <w:szCs w:val="20"/>
              </w:rPr>
              <w:t xml:space="preserve">4 076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1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  <w:sz w:val="20"/>
                <w:szCs w:val="20"/>
              </w:rPr>
              <w:t xml:space="preserve">12 388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  <w:sz w:val="20"/>
                <w:szCs w:val="20"/>
              </w:rPr>
              <w:t xml:space="preserve">19 258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  <w:sz w:val="20"/>
                <w:szCs w:val="20"/>
              </w:rPr>
              <w:t xml:space="preserve">15 895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</w:tcBorders>
            <w:tcW w:w="815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  <w:sz w:val="20"/>
                <w:szCs w:val="20"/>
              </w:rPr>
              <w:t xml:space="preserve">25 339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</w:tcBorders>
            <w:tcW w:w="815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  <w:sz w:val="20"/>
                <w:szCs w:val="20"/>
              </w:rPr>
              <w:t xml:space="preserve">85 757</w:t>
            </w:r>
            <w:r/>
          </w:p>
        </w:tc>
      </w:tr>
      <w:tr>
        <w:trPr>
          <w:trHeight w:val="5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top"/>
            <w:textDirection w:val="lrTb"/>
            <w:noWrap w:val="false"/>
          </w:tcPr>
          <w:p>
            <w:pPr>
              <w:pStyle w:val="1239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Основное    </w:t>
              <w:br w:type="textWrapping" w:clear="all"/>
              <w:t xml:space="preserve">мероприятие 1.2       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Align w:val="top"/>
            <w:textDirection w:val="lrTb"/>
            <w:noWrap w:val="false"/>
          </w:tcPr>
          <w:p>
            <w:pPr>
              <w:pStyle w:val="1239"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Капитальный ремонт и ремонт автомобильных дорог местного значения, относящихся  к улично-дорожной сети населенных пунктов района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top"/>
            <w:textDirection w:val="lrTb"/>
            <w:noWrap w:val="false"/>
          </w:tcPr>
          <w:p>
            <w:pPr>
              <w:pStyle w:val="1239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МКУ «Управление строительства, транспорта связи и ЖКХ» Чернянского района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4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860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0409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0410120570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244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62 763,6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7 014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14 751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1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6 027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815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6 147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3 630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38 384</w:t>
            </w:r>
            <w:r/>
          </w:p>
        </w:tc>
      </w:tr>
      <w:tr>
        <w:trPr>
          <w:trHeight w:val="5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Основное мероприятие 1.3.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Align w:val="top"/>
            <w:textDirection w:val="lrTb"/>
            <w:noWrap w:val="false"/>
          </w:tcPr>
          <w:p>
            <w:pPr>
              <w:pStyle w:val="1239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Субсидии на строительство (реконструкцию)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top"/>
            <w:textDirection w:val="lrTb"/>
            <w:noWrap w:val="false"/>
          </w:tcPr>
          <w:p>
            <w:pPr>
              <w:pStyle w:val="1239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МКУ «Управление строительства, транспорта связи и ЖКХ» Чернянского района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4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860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0409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0410120570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244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1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0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0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0</w:t>
            </w:r>
            <w:r/>
          </w:p>
        </w:tc>
      </w:tr>
      <w:tr>
        <w:trPr>
          <w:trHeight w:val="5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Основное мероприятие 1.4.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Align w:val="top"/>
            <w:textDirection w:val="lrTb"/>
            <w:noWrap w:val="false"/>
          </w:tcPr>
          <w:p>
            <w:pPr>
              <w:pStyle w:val="1190"/>
              <w:ind w:left="0" w:right="-30" w:firstLine="0"/>
            </w:pPr>
            <w:r>
              <w:t xml:space="preserve">Установка новых дорожных знаков и строительство пешеходных тротуаров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top"/>
            <w:textDirection w:val="lrTb"/>
            <w:noWrap w:val="false"/>
          </w:tcPr>
          <w:p>
            <w:pPr>
              <w:pStyle w:val="1239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МКУ «Управление строительства, транспорта связи и ЖКХ» Чернянского района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4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860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0409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0410120570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244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3 511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top"/>
            <w:textDirection w:val="lrTb"/>
            <w:noWrap w:val="false"/>
          </w:tcPr>
          <w:p>
            <w:pPr>
              <w:pStyle w:val="1190"/>
              <w:ind w:left="0" w:right="0" w:hanging="2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1" w:type="dxa"/>
            <w:vAlign w:val="top"/>
            <w:textDirection w:val="lrTb"/>
            <w:noWrap w:val="false"/>
          </w:tcPr>
          <w:p>
            <w:pPr>
              <w:pStyle w:val="1190"/>
              <w:ind w:left="0" w:right="0" w:hanging="2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top"/>
            <w:textDirection w:val="lrTb"/>
            <w:noWrap w:val="false"/>
          </w:tcPr>
          <w:p>
            <w:pPr>
              <w:pStyle w:val="1190"/>
              <w:ind w:left="0" w:right="0" w:hanging="27"/>
              <w:jc w:val="center"/>
            </w:pPr>
            <w:r>
              <w:rPr>
                <w:color w:val="000000"/>
              </w:rPr>
              <w:t xml:space="preserve">411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411</w:t>
            </w:r>
            <w:r/>
          </w:p>
        </w:tc>
      </w:tr>
      <w:tr>
        <w:trPr>
          <w:trHeight w:val="54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5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rPr>
                <w:b/>
              </w:rPr>
              <w:t xml:space="preserve">Подпрограмма 2 </w:t>
            </w:r>
            <w:r/>
          </w:p>
          <w:p>
            <w:pPr>
              <w:pStyle w:val="1190"/>
              <w:widowControl w:val="off"/>
              <w:rPr>
                <w:b/>
              </w:rPr>
            </w:pPr>
            <w:r>
              <w:rPr>
                <w:b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780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ind w:left="0" w:right="-30" w:firstLine="0"/>
            </w:pPr>
            <w:r>
              <w:rPr>
                <w:b/>
              </w:rPr>
              <w:t xml:space="preserve">«Совершенствование и развитие транспортной системы Чернянского района»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top"/>
            <w:textDirection w:val="lrTb"/>
            <w:noWrap w:val="false"/>
          </w:tcPr>
          <w:p>
            <w:pPr>
              <w:pStyle w:val="1239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Всего, в том числе:          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4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850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0408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814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116 036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6 547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6 164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1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6 865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8 641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12 088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11 702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52 007</w:t>
            </w:r>
            <w:r/>
          </w:p>
        </w:tc>
      </w:tr>
      <w:tr>
        <w:trPr>
          <w:trHeight w:val="54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5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780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85" w:type="dxa"/>
            <w:vAlign w:val="top"/>
            <w:vMerge w:val="restart"/>
            <w:textDirection w:val="lrTb"/>
            <w:noWrap w:val="false"/>
          </w:tcPr>
          <w:p>
            <w:pPr>
              <w:pStyle w:val="1239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МКУ «Управление строительства, транспорта связи и ЖКХ» Чернянского района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4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850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0408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814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116 036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6 547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6 164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1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6 865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8 641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12 088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11 702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52 007</w:t>
            </w:r>
            <w:r/>
          </w:p>
        </w:tc>
      </w:tr>
      <w:tr>
        <w:trPr>
          <w:trHeight w:val="20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5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780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85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4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1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</w:tr>
      <w:tr>
        <w:trPr>
          <w:trHeight w:val="261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5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780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85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4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1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</w:tr>
      <w:tr>
        <w:trPr>
          <w:trHeight w:val="173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top"/>
            <w:textDirection w:val="lrTb"/>
            <w:noWrap w:val="false"/>
          </w:tcPr>
          <w:p>
            <w:pPr>
              <w:pStyle w:val="1239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Основное    </w:t>
              <w:br w:type="textWrapping" w:clear="all"/>
              <w:t xml:space="preserve">мероприятие 2.1.1        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Align w:val="top"/>
            <w:textDirection w:val="lrTb"/>
            <w:noWrap w:val="false"/>
          </w:tcPr>
          <w:p>
            <w:pPr>
              <w:pStyle w:val="1239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Средства на проезд студентов, аспирантов и учащихся учебных заведений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top"/>
            <w:textDirection w:val="lrTb"/>
            <w:noWrap w:val="false"/>
          </w:tcPr>
          <w:p>
            <w:pPr>
              <w:pStyle w:val="1239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МКУ «Управление строительства, транспорта связи и ЖКХ» Чернянского района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4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850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0408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0420123810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814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3 205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360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158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1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360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400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400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102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1 780</w:t>
            </w:r>
            <w:r/>
          </w:p>
        </w:tc>
      </w:tr>
      <w:tr>
        <w:trPr>
          <w:trHeight w:val="18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top"/>
            <w:textDirection w:val="lrTb"/>
            <w:noWrap w:val="false"/>
          </w:tcPr>
          <w:p>
            <w:pPr>
              <w:pStyle w:val="1190"/>
              <w:ind w:left="0" w:right="-30" w:firstLine="0"/>
            </w:pPr>
            <w:r>
              <w:rPr>
                <w:color w:val="000000"/>
              </w:rPr>
              <w:t xml:space="preserve">Основное       </w:t>
            </w:r>
            <w:r/>
          </w:p>
          <w:p>
            <w:pPr>
              <w:pStyle w:val="1190"/>
              <w:ind w:left="0" w:right="-30" w:firstLine="0"/>
            </w:pPr>
            <w:r>
              <w:rPr>
                <w:color w:val="000000"/>
              </w:rPr>
              <w:t xml:space="preserve">мероприятие 2.2.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Align w:val="top"/>
            <w:textDirection w:val="lrTb"/>
            <w:noWrap w:val="false"/>
          </w:tcPr>
          <w:p>
            <w:pPr>
              <w:pStyle w:val="1190"/>
              <w:ind w:left="0" w:right="-30" w:firstLine="0"/>
            </w:pPr>
            <w:r>
              <w:rPr>
                <w:color w:val="000000"/>
              </w:rPr>
              <w:t xml:space="preserve">Средства на покрытие убытков  по организации транспортного обслуживания на внутримуниципальном пригородном сообщении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top"/>
            <w:textDirection w:val="lrTb"/>
            <w:noWrap w:val="false"/>
          </w:tcPr>
          <w:p>
            <w:pPr>
              <w:pStyle w:val="1239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МКУ «Управление строительства, транспорта связи и ЖКХ» Чернянского района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4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850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0408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0420123810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814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112 831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6 187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top"/>
            <w:textDirection w:val="lrTb"/>
            <w:noWrap w:val="false"/>
          </w:tcPr>
          <w:p>
            <w:pPr>
              <w:pStyle w:val="1190"/>
            </w:pPr>
            <w:r>
              <w:rPr>
                <w:color w:val="000000"/>
              </w:rPr>
              <w:t xml:space="preserve">6 006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1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6 505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8 241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11 688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11 600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50 227</w:t>
            </w:r>
            <w:r/>
          </w:p>
        </w:tc>
      </w:tr>
    </w:tbl>
    <w:p>
      <w:pPr>
        <w:pStyle w:val="12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1234"/>
        <w:jc w:val="center"/>
      </w:pPr>
      <w:r>
        <w:tab/>
      </w:r>
      <w:r/>
    </w:p>
    <w:p>
      <w:pPr>
        <w:pStyle w:val="1234"/>
        <w:jc w:val="center"/>
      </w:pPr>
      <w:r/>
      <w:r/>
    </w:p>
    <w:p>
      <w:pPr>
        <w:pStyle w:val="1234"/>
        <w:jc w:val="center"/>
      </w:pPr>
      <w:r/>
      <w:r/>
    </w:p>
    <w:p>
      <w:pPr>
        <w:pStyle w:val="1234"/>
        <w:jc w:val="center"/>
      </w:pPr>
      <w:r/>
      <w:r/>
    </w:p>
    <w:p>
      <w:pPr>
        <w:pStyle w:val="1234"/>
        <w:jc w:val="center"/>
      </w:pPr>
      <w:r/>
      <w:r/>
    </w:p>
    <w:p>
      <w:pPr>
        <w:pStyle w:val="1234"/>
        <w:jc w:val="center"/>
      </w:pPr>
      <w:r/>
      <w:r/>
    </w:p>
    <w:p>
      <w:pPr>
        <w:pStyle w:val="1234"/>
        <w:jc w:val="center"/>
      </w:pPr>
      <w:r/>
      <w:r/>
    </w:p>
    <w:p>
      <w:pPr>
        <w:pStyle w:val="1234"/>
        <w:jc w:val="center"/>
      </w:pPr>
      <w:r/>
      <w:r/>
    </w:p>
    <w:p>
      <w:pPr>
        <w:pStyle w:val="1234"/>
        <w:jc w:val="center"/>
      </w:pPr>
      <w:r/>
      <w:r/>
    </w:p>
    <w:p>
      <w:pPr>
        <w:pStyle w:val="1234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Ресурсное обеспечение реализации муниципальной программы </w:t>
      </w:r>
      <w:r/>
    </w:p>
    <w:p>
      <w:pPr>
        <w:pStyle w:val="1234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за счет средств местного бюджета на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II</w:t>
      </w:r>
      <w:r>
        <w:rPr>
          <w:rFonts w:ascii="Times New Roman" w:hAnsi="Times New Roman" w:cs="Times New Roman"/>
          <w:b/>
          <w:sz w:val="28"/>
          <w:szCs w:val="28"/>
        </w:rPr>
        <w:t xml:space="preserve"> этап реализации</w:t>
      </w:r>
      <w:r/>
    </w:p>
    <w:tbl>
      <w:tblPr>
        <w:tblW w:w="0" w:type="auto"/>
        <w:tblInd w:w="-284" w:type="dxa"/>
        <w:tblLayout w:type="fixed"/>
        <w:tblCellMar>
          <w:left w:w="75" w:type="dxa"/>
          <w:top w:w="0" w:type="dxa"/>
          <w:right w:w="75" w:type="dxa"/>
          <w:bottom w:w="0" w:type="dxa"/>
        </w:tblCellMar>
        <w:tblLook w:val="04A0" w:firstRow="1" w:lastRow="0" w:firstColumn="1" w:lastColumn="0" w:noHBand="0" w:noVBand="1"/>
      </w:tblPr>
      <w:tblGrid>
        <w:gridCol w:w="1277"/>
        <w:gridCol w:w="2343"/>
        <w:gridCol w:w="1984"/>
        <w:gridCol w:w="716"/>
        <w:gridCol w:w="709"/>
        <w:gridCol w:w="708"/>
        <w:gridCol w:w="642"/>
        <w:gridCol w:w="1138"/>
        <w:gridCol w:w="922"/>
        <w:gridCol w:w="923"/>
        <w:gridCol w:w="784"/>
        <w:gridCol w:w="784"/>
        <w:gridCol w:w="850"/>
        <w:gridCol w:w="851"/>
        <w:gridCol w:w="992"/>
      </w:tblGrid>
      <w:tr>
        <w:trPr>
          <w:trHeight w:val="54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top"/>
            <w:vMerge w:val="restart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Статус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3" w:type="dxa"/>
            <w:vAlign w:val="top"/>
            <w:vMerge w:val="restart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 </w:t>
              <w:br w:type="textWrapping" w:clear="all"/>
              <w:t xml:space="preserve">муниципальной программы, </w:t>
              <w:br w:type="textWrapping" w:clear="all"/>
              <w:t xml:space="preserve">подпрограммы,   </w:t>
              <w:br w:type="textWrapping" w:clear="all"/>
              <w:t xml:space="preserve">основного </w:t>
              <w:br w:type="textWrapping" w:clear="all"/>
              <w:t xml:space="preserve">мероприятия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vMerge w:val="restart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</w:t>
              <w:br w:type="textWrapping" w:clear="all"/>
              <w:t xml:space="preserve"> исполнитель,  </w:t>
              <w:br w:type="textWrapping" w:clear="all"/>
              <w:t xml:space="preserve">соисполнители, </w:t>
              <w:br w:type="textWrapping" w:clear="all"/>
              <w:t xml:space="preserve">участники</w:t>
            </w:r>
            <w:r/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5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Код бюджетной классификации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8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Общий объем финансирования, тыс. рублей</w:t>
            </w:r>
            <w:r/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1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Расходы (тыс. рублей),  </w:t>
              <w:br w:type="textWrapping" w:clear="all"/>
              <w:t xml:space="preserve">           годы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Итого на </w:t>
            </w:r>
            <w:r>
              <w:rPr>
                <w:lang w:val="en-US"/>
              </w:rPr>
              <w:t xml:space="preserve">II</w:t>
            </w:r>
            <w:r>
              <w:t xml:space="preserve"> этап (2021-2026 годы)</w:t>
            </w:r>
            <w:r/>
          </w:p>
        </w:tc>
      </w:tr>
      <w:tr>
        <w:trPr>
          <w:trHeight w:val="919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3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6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ГРБС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Рз, </w:t>
              <w:br w:type="textWrapping" w:clear="all"/>
              <w:t xml:space="preserve">Пр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ЦСР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ВР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8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2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20</w:t>
            </w:r>
            <w:r>
              <w:rPr>
                <w:lang w:val="en-US"/>
              </w:rPr>
              <w:t xml:space="preserve">21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20</w:t>
            </w:r>
            <w:r>
              <w:rPr>
                <w:lang w:val="en-US"/>
              </w:rPr>
              <w:t xml:space="preserve">22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20</w:t>
            </w:r>
            <w:r>
              <w:rPr>
                <w:lang w:val="en-US"/>
              </w:rPr>
              <w:t xml:space="preserve">23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20</w:t>
            </w:r>
            <w:r>
              <w:rPr>
                <w:lang w:val="en-US"/>
              </w:rPr>
              <w:t xml:space="preserve">24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1190"/>
              <w:ind w:left="-455" w:right="0" w:firstLine="455"/>
              <w:jc w:val="center"/>
            </w:pPr>
            <w:r>
              <w:rPr>
                <w:color w:val="000000"/>
              </w:rPr>
              <w:t xml:space="preserve">20</w:t>
            </w:r>
            <w:r>
              <w:rPr>
                <w:color w:val="000000"/>
                <w:lang w:val="en-US"/>
              </w:rPr>
              <w:t xml:space="preserve">25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jc w:val="center"/>
            </w:pPr>
            <w:r>
              <w:t xml:space="preserve">2026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92" w:type="dxa"/>
            <w:vAlign w:val="center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</w:tr>
      <w:tr>
        <w:trPr>
          <w:trHeight w:val="202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3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6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5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8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2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3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10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1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2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3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14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15</w:t>
            </w:r>
            <w:r/>
          </w:p>
        </w:tc>
      </w:tr>
      <w:tr>
        <w:trPr>
          <w:trHeight w:val="5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top"/>
            <w:vMerge w:val="restart"/>
            <w:textDirection w:val="lrTb"/>
            <w:noWrap w:val="false"/>
          </w:tcPr>
          <w:p>
            <w:pPr>
              <w:pStyle w:val="1239"/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Муниципальная    </w:t>
              <w:br w:type="textWrapping" w:clear="all"/>
              <w:t xml:space="preserve">программа  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3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b/>
              </w:rPr>
              <w:t xml:space="preserve">«Муниципальная программа «Совершенствова-ние и развитие</w:t>
            </w:r>
            <w:r/>
          </w:p>
          <w:p>
            <w:pPr>
              <w:pStyle w:val="1190"/>
              <w:jc w:val="center"/>
              <w:widowControl w:val="off"/>
            </w:pPr>
            <w:r>
              <w:rPr>
                <w:b/>
              </w:rPr>
              <w:t xml:space="preserve">транспортной системы и дорожной сети Чернянского района»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 w:val="false"/>
          </w:tcPr>
          <w:p>
            <w:pPr>
              <w:pStyle w:val="1239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Всего, в том   </w:t>
              <w:br w:type="textWrapping" w:clear="all"/>
              <w:t xml:space="preserve">числе:         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6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Х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Х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8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  <w:sz w:val="20"/>
                <w:szCs w:val="20"/>
              </w:rPr>
              <w:t xml:space="preserve">358 457,6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2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32 490,6</w:t>
            </w:r>
            <w:r>
              <w:rPr>
                <w:sz w:val="19"/>
                <w:szCs w:val="19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34 220,5</w:t>
            </w:r>
            <w:r>
              <w:rPr>
                <w:sz w:val="19"/>
                <w:szCs w:val="19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33 291,7</w:t>
            </w: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35 050,8</w:t>
            </w: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32 445</w:t>
            </w: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14 400</w:t>
            </w: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181 898,6</w:t>
            </w:r>
            <w:r/>
          </w:p>
        </w:tc>
      </w:tr>
      <w:tr>
        <w:trPr>
          <w:trHeight w:val="4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3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84" w:type="dxa"/>
            <w:vAlign w:val="top"/>
            <w:vMerge w:val="restart"/>
            <w:textDirection w:val="lrTb"/>
            <w:noWrap w:val="false"/>
          </w:tcPr>
          <w:p>
            <w:pPr>
              <w:pStyle w:val="1239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МКУ «Управление строительства, транспорта связи и ЖКХ» Чернянского района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6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8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2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3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123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</w:tr>
      <w:tr>
        <w:trPr>
          <w:trHeight w:val="102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3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84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6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8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2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3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123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</w:tr>
      <w:tr>
        <w:trPr>
          <w:trHeight w:val="422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top"/>
            <w:vMerge w:val="restart"/>
            <w:textDirection w:val="lrTb"/>
            <w:noWrap w:val="false"/>
          </w:tcPr>
          <w:p>
            <w:pPr>
              <w:pStyle w:val="1239"/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Подпрограмма 1           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3" w:type="dxa"/>
            <w:vAlign w:val="top"/>
            <w:vMerge w:val="restart"/>
            <w:textDirection w:val="lrTb"/>
            <w:noWrap w:val="false"/>
          </w:tcPr>
          <w:p>
            <w:pPr>
              <w:pStyle w:val="1239"/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«Совершенствование и развитие дорожной сети»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 w:val="false"/>
          </w:tcPr>
          <w:p>
            <w:pPr>
              <w:pStyle w:val="1239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Всего, в том числе:          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6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8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2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  <w:r>
              <w:rPr>
                <w:rFonts w:cs="Times New Roman"/>
                <w:color w:val="000000"/>
                <w:sz w:val="20"/>
                <w:szCs w:val="20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  <w:r/>
          </w:p>
        </w:tc>
      </w:tr>
      <w:tr>
        <w:trPr>
          <w:trHeight w:val="9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3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 w:val="false"/>
          </w:tcPr>
          <w:p>
            <w:pPr>
              <w:pStyle w:val="1239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МКУ «Управление строительства, транспорта связи и ЖКХ» Чернянского района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6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860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0409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244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8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  <w:sz w:val="20"/>
                <w:szCs w:val="20"/>
              </w:rPr>
              <w:t xml:space="preserve">239 650,5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2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20 422,6</w:t>
            </w: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22 126,5</w:t>
            </w: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19 700,6</w:t>
            </w: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19 824,8</w:t>
            </w: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18 624</w:t>
            </w: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 xml:space="preserve">14 400</w:t>
            </w: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0"/>
                <w:szCs w:val="20"/>
                <w:lang w:val="en-US"/>
              </w:rPr>
              <w:t xml:space="preserve">115 098,5</w:t>
            </w:r>
            <w:r/>
          </w:p>
        </w:tc>
      </w:tr>
      <w:tr>
        <w:trPr>
          <w:trHeight w:val="201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top"/>
            <w:textDirection w:val="lrTb"/>
            <w:noWrap w:val="false"/>
          </w:tcPr>
          <w:p>
            <w:pPr>
              <w:pStyle w:val="1239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Основное    </w:t>
              <w:br w:type="textWrapping" w:clear="all"/>
              <w:t xml:space="preserve">мероприятие 1.1.        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3" w:type="dxa"/>
            <w:vAlign w:val="top"/>
            <w:textDirection w:val="lrTb"/>
            <w:noWrap w:val="false"/>
          </w:tcPr>
          <w:p>
            <w:pPr>
              <w:pStyle w:val="1239"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Содержание и ремонт автомобильных дорог местного значения и искусственных сооружений на них, относящихся  к улично-дорожной сети населенных пунктов района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 w:val="false"/>
          </w:tcPr>
          <w:p>
            <w:pPr>
              <w:pStyle w:val="1239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МКУ «Управление строительства, транспорта связи и ЖКХ» Чернянского района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6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860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0409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0410120570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244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8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  <w:sz w:val="20"/>
                <w:szCs w:val="20"/>
              </w:rPr>
              <w:t xml:space="preserve">191 088,8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2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17 594</w:t>
            </w: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20 336,5</w:t>
            </w: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16 904,3</w:t>
            </w: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18 713</w:t>
            </w: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18 004</w:t>
            </w: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13 780</w:t>
            </w: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105 331,8</w:t>
            </w:r>
            <w:r/>
          </w:p>
        </w:tc>
      </w:tr>
      <w:tr>
        <w:trPr>
          <w:trHeight w:val="5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top"/>
            <w:textDirection w:val="lrTb"/>
            <w:noWrap w:val="false"/>
          </w:tcPr>
          <w:p>
            <w:pPr>
              <w:pStyle w:val="1239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Основное    </w:t>
              <w:br w:type="textWrapping" w:clear="all"/>
              <w:t xml:space="preserve">мероприятие 1.2       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3" w:type="dxa"/>
            <w:vAlign w:val="top"/>
            <w:textDirection w:val="lrTb"/>
            <w:noWrap w:val="false"/>
          </w:tcPr>
          <w:p>
            <w:pPr>
              <w:pStyle w:val="1239"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Капитальный ремонт и ремонт автомобильных дорог местного значения, относящихся  к улично-дорожной сети населенных пунктов района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 w:val="false"/>
          </w:tcPr>
          <w:p>
            <w:pPr>
              <w:pStyle w:val="1239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МКУ «Управление строительства, транспорта связи и ЖКХ» Чернянского района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6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860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0409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0410120570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244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8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  <w:sz w:val="20"/>
                <w:szCs w:val="20"/>
              </w:rPr>
              <w:t xml:space="preserve">44 430,7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2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2 208,6</w:t>
            </w: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1 170</w:t>
            </w: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2 176,3</w:t>
            </w: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491,8</w:t>
            </w: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</w:t>
            </w: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</w:t>
            </w: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0"/>
                <w:szCs w:val="20"/>
              </w:rPr>
              <w:t xml:space="preserve">6 046,7</w:t>
            </w:r>
            <w:r/>
          </w:p>
        </w:tc>
      </w:tr>
      <w:tr>
        <w:trPr>
          <w:trHeight w:val="5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Основное мероприятие 1.3.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3" w:type="dxa"/>
            <w:vAlign w:val="top"/>
            <w:textDirection w:val="lrTb"/>
            <w:noWrap w:val="false"/>
          </w:tcPr>
          <w:p>
            <w:pPr>
              <w:pStyle w:val="1239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на строительство (реконструкцию)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 w:val="false"/>
          </w:tcPr>
          <w:p>
            <w:pPr>
              <w:pStyle w:val="1239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МКУ «Управление строительства, транспорта связи и ЖКХ» Чернянского района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6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860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0409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0410120570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244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8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2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0</w:t>
            </w:r>
            <w:r/>
          </w:p>
        </w:tc>
      </w:tr>
      <w:tr>
        <w:trPr>
          <w:trHeight w:val="5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Основное мероприятие 1.4.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3" w:type="dxa"/>
            <w:vAlign w:val="top"/>
            <w:textDirection w:val="lrTb"/>
            <w:noWrap w:val="false"/>
          </w:tcPr>
          <w:p>
            <w:pPr>
              <w:pStyle w:val="1190"/>
              <w:ind w:left="0" w:right="-30" w:firstLine="0"/>
            </w:pPr>
            <w:r>
              <w:t xml:space="preserve">Установка новых дорожных знаков и строительство пешеходных тротуаров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 w:val="false"/>
          </w:tcPr>
          <w:p>
            <w:pPr>
              <w:pStyle w:val="1239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МКУ «Управление строительства, транспорта связи и ЖКХ» Чернянского района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6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860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0409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0410120570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244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8" w:type="dxa"/>
            <w:vAlign w:val="top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  <w:sz w:val="20"/>
                <w:szCs w:val="20"/>
              </w:rPr>
              <w:t xml:space="preserve">4 131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2" w:type="dxa"/>
            <w:vAlign w:val="top"/>
            <w:textDirection w:val="lrTb"/>
            <w:noWrap w:val="false"/>
          </w:tcPr>
          <w:p>
            <w:pPr>
              <w:pStyle w:val="1190"/>
              <w:ind w:left="0" w:right="0" w:firstLine="40"/>
              <w:jc w:val="center"/>
            </w:pPr>
            <w:r>
              <w:rPr>
                <w:color w:val="000000"/>
                <w:sz w:val="20"/>
                <w:szCs w:val="20"/>
              </w:rPr>
              <w:t xml:space="preserve">620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  <w:sz w:val="20"/>
                <w:szCs w:val="20"/>
              </w:rPr>
              <w:t xml:space="preserve">620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  <w:sz w:val="20"/>
                <w:szCs w:val="20"/>
              </w:rPr>
              <w:t xml:space="preserve">620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  <w:sz w:val="20"/>
                <w:szCs w:val="20"/>
              </w:rPr>
              <w:t xml:space="preserve">620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  <w:sz w:val="20"/>
                <w:szCs w:val="20"/>
              </w:rPr>
              <w:t xml:space="preserve">620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620</w:t>
            </w:r>
            <w:r>
              <w:rPr>
                <w:color w:val="000000"/>
                <w:sz w:val="20"/>
                <w:szCs w:val="2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  <w:sz w:val="20"/>
                <w:szCs w:val="20"/>
              </w:rPr>
              <w:t xml:space="preserve">3 720</w:t>
            </w:r>
            <w:r/>
          </w:p>
        </w:tc>
      </w:tr>
      <w:tr>
        <w:trPr>
          <w:trHeight w:val="54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7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rPr>
                <w:b/>
              </w:rPr>
              <w:t xml:space="preserve">Подпрограмма 2 </w:t>
            </w:r>
            <w:r/>
          </w:p>
          <w:p>
            <w:pPr>
              <w:pStyle w:val="1190"/>
              <w:widowControl w:val="off"/>
              <w:rPr>
                <w:b/>
              </w:rPr>
            </w:pPr>
            <w:r>
              <w:rPr>
                <w:b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343" w:type="dxa"/>
            <w:vAlign w:val="top"/>
            <w:vMerge w:val="restart"/>
            <w:textDirection w:val="lrTb"/>
            <w:noWrap w:val="false"/>
          </w:tcPr>
          <w:p>
            <w:pPr>
              <w:pStyle w:val="1190"/>
              <w:ind w:left="0" w:right="-30" w:firstLine="0"/>
            </w:pPr>
            <w:r>
              <w:rPr>
                <w:b/>
              </w:rPr>
              <w:t xml:space="preserve">«Совершенствование и развитие транспортной системы Чернянского района»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 w:val="false"/>
          </w:tcPr>
          <w:p>
            <w:pPr>
              <w:pStyle w:val="1239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Всего, в том числе:          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6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850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0408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814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8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0"/>
                <w:szCs w:val="20"/>
              </w:rPr>
              <w:t xml:space="preserve">118 807,1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2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12 068</w:t>
            </w: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12 094</w:t>
            </w: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13 591,1</w:t>
            </w: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15 226</w:t>
            </w: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13 821</w:t>
            </w: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</w:t>
            </w: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0"/>
                <w:szCs w:val="20"/>
              </w:rPr>
              <w:t xml:space="preserve">66 800,1</w:t>
            </w:r>
            <w:r/>
          </w:p>
        </w:tc>
      </w:tr>
      <w:tr>
        <w:trPr>
          <w:trHeight w:val="54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7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343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84" w:type="dxa"/>
            <w:vAlign w:val="top"/>
            <w:vMerge w:val="restart"/>
            <w:textDirection w:val="lrTb"/>
            <w:noWrap w:val="false"/>
          </w:tcPr>
          <w:p>
            <w:pPr>
              <w:pStyle w:val="1239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МКУ «Управление строительства, транспорта связи и ЖКХ» Чернянского района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6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850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0408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814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8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0"/>
                <w:szCs w:val="20"/>
              </w:rPr>
              <w:t xml:space="preserve">118 807,1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2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18"/>
                <w:szCs w:val="18"/>
              </w:rPr>
              <w:t xml:space="preserve">12 068</w:t>
            </w: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18"/>
                <w:szCs w:val="18"/>
              </w:rPr>
              <w:t xml:space="preserve">12 094</w:t>
            </w: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18"/>
                <w:szCs w:val="18"/>
              </w:rPr>
              <w:t xml:space="preserve">13 591,1</w:t>
            </w: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18"/>
                <w:szCs w:val="18"/>
              </w:rPr>
              <w:t xml:space="preserve">15 226</w:t>
            </w: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18"/>
                <w:szCs w:val="18"/>
              </w:rPr>
              <w:t xml:space="preserve">13 821</w:t>
            </w: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0</w:t>
            </w: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0"/>
                <w:szCs w:val="20"/>
              </w:rPr>
              <w:t xml:space="preserve">66 800,1</w:t>
            </w:r>
            <w:r/>
          </w:p>
        </w:tc>
      </w:tr>
      <w:tr>
        <w:trPr>
          <w:trHeight w:val="20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7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343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84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6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8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2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3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123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</w:tr>
      <w:tr>
        <w:trPr>
          <w:trHeight w:val="261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7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343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84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6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8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2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3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123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12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</w:tr>
      <w:tr>
        <w:trPr>
          <w:trHeight w:val="173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top"/>
            <w:textDirection w:val="lrTb"/>
            <w:noWrap w:val="false"/>
          </w:tcPr>
          <w:p>
            <w:pPr>
              <w:pStyle w:val="1239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Основное    </w:t>
              <w:br w:type="textWrapping" w:clear="all"/>
              <w:t xml:space="preserve">мероприя-тие 2.1.      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3" w:type="dxa"/>
            <w:vAlign w:val="top"/>
            <w:textDirection w:val="lrTb"/>
            <w:noWrap w:val="false"/>
          </w:tcPr>
          <w:p>
            <w:pPr>
              <w:pStyle w:val="1239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Средства на проезд студентов, аспирантов и учащихся учебных заведений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 w:val="false"/>
          </w:tcPr>
          <w:p>
            <w:pPr>
              <w:pStyle w:val="1239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МКУ «Управление строительства, транспорта связи и ЖКХ» Чернянского района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6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850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0408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0420123810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814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8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  <w:sz w:val="20"/>
                <w:szCs w:val="20"/>
              </w:rPr>
              <w:t xml:space="preserve">2 041,1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2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  <w:sz w:val="20"/>
                <w:szCs w:val="20"/>
              </w:rPr>
              <w:t xml:space="preserve">116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  <w:sz w:val="20"/>
                <w:szCs w:val="20"/>
              </w:rPr>
              <w:t xml:space="preserve">109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  <w:sz w:val="20"/>
                <w:szCs w:val="20"/>
              </w:rPr>
              <w:t xml:space="preserve">36,1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  <w:sz w:val="20"/>
                <w:szCs w:val="20"/>
              </w:rPr>
              <w:t xml:space="preserve">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  <w:sz w:val="20"/>
                <w:szCs w:val="20"/>
              </w:rPr>
              <w:t xml:space="preserve">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</w:t>
            </w:r>
            <w:r>
              <w:rPr>
                <w:color w:val="000000"/>
                <w:sz w:val="20"/>
                <w:szCs w:val="20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  <w:sz w:val="20"/>
                <w:szCs w:val="20"/>
              </w:rPr>
              <w:t xml:space="preserve">261,1</w:t>
            </w:r>
            <w:r/>
          </w:p>
        </w:tc>
      </w:tr>
      <w:tr>
        <w:trPr>
          <w:trHeight w:val="18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top"/>
            <w:textDirection w:val="lrTb"/>
            <w:noWrap w:val="false"/>
          </w:tcPr>
          <w:p>
            <w:pPr>
              <w:pStyle w:val="1190"/>
              <w:ind w:left="0" w:right="-30" w:firstLine="0"/>
            </w:pPr>
            <w:r>
              <w:rPr>
                <w:color w:val="000000"/>
              </w:rPr>
              <w:t xml:space="preserve">Основное       </w:t>
            </w:r>
            <w:r/>
          </w:p>
          <w:p>
            <w:pPr>
              <w:pStyle w:val="1190"/>
              <w:ind w:left="0" w:right="-30" w:firstLine="0"/>
            </w:pPr>
            <w:r>
              <w:rPr>
                <w:color w:val="000000"/>
              </w:rPr>
              <w:t xml:space="preserve">мероприя-тие 2.2.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3" w:type="dxa"/>
            <w:vAlign w:val="top"/>
            <w:textDirection w:val="lrTb"/>
            <w:noWrap w:val="false"/>
          </w:tcPr>
          <w:p>
            <w:pPr>
              <w:pStyle w:val="1190"/>
              <w:ind w:left="0" w:right="-30" w:firstLine="0"/>
            </w:pPr>
            <w:r>
              <w:rPr>
                <w:color w:val="000000"/>
              </w:rPr>
              <w:t xml:space="preserve">Средства на покрытие убытков  по организации транспортного обслуживания на внутримуниципальном пригородном сообщении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 w:val="false"/>
          </w:tcPr>
          <w:p>
            <w:pPr>
              <w:pStyle w:val="1239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МКУ «Управление строительства, транспорта связи и ЖКХ» Чернянского района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6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850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0408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0420123810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8143-454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8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  <w:sz w:val="20"/>
                <w:szCs w:val="20"/>
              </w:rPr>
              <w:t xml:space="preserve">116 766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2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  <w:sz w:val="20"/>
                <w:szCs w:val="20"/>
              </w:rPr>
              <w:t xml:space="preserve">11 952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3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color w:val="000000"/>
                <w:sz w:val="20"/>
                <w:szCs w:val="20"/>
              </w:rPr>
              <w:t xml:space="preserve">11 985 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0"/>
                <w:szCs w:val="20"/>
              </w:rPr>
              <w:t xml:space="preserve">13 555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4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0"/>
                <w:szCs w:val="20"/>
              </w:rPr>
              <w:t xml:space="preserve">15 226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0"/>
                <w:szCs w:val="20"/>
              </w:rPr>
              <w:t xml:space="preserve">13 821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1190"/>
              <w:jc w:val="center"/>
            </w:pPr>
            <w:r>
              <w:rPr>
                <w:sz w:val="20"/>
                <w:szCs w:val="20"/>
              </w:rPr>
              <w:t xml:space="preserve">66 539</w:t>
            </w:r>
            <w:r/>
          </w:p>
        </w:tc>
      </w:tr>
    </w:tbl>
    <w:p>
      <w:pPr>
        <w:pStyle w:val="1190"/>
        <w:sectPr>
          <w:headerReference w:type="default" r:id="rId17"/>
          <w:headerReference w:type="even" r:id="rId18"/>
          <w:headerReference w:type="first" r:id="rId19"/>
          <w:footerReference w:type="default" r:id="rId28"/>
          <w:footerReference w:type="even" r:id="rId29"/>
          <w:footerReference w:type="first" r:id="rId30"/>
          <w:footnotePr>
            <w:numFmt w:val="decimal"/>
            <w:numRestart w:val="continuous"/>
          </w:footnotePr>
          <w:endnotePr>
            <w:numFmt w:val="lowerRoman"/>
          </w:endnotePr>
          <w:type w:val="nextPage"/>
          <w:pgSz w:w="16838" w:h="11906" w:orient="landscape"/>
          <w:pgMar w:top="851" w:right="567" w:bottom="851" w:left="1134" w:header="0" w:footer="0" w:gutter="0"/>
          <w:cols w:num="1" w:sep="0" w:space="1701" w:equalWidth="1"/>
          <w:docGrid w:linePitch="360"/>
        </w:sectPr>
      </w:pPr>
      <w:r/>
      <w:r/>
    </w:p>
    <w:p>
      <w:pPr>
        <w:pStyle w:val="1234"/>
        <w:ind w:left="10080" w:right="0" w:firstLine="720"/>
        <w:jc w:val="right"/>
      </w:pPr>
      <w:r>
        <w:rPr>
          <w:rFonts w:ascii="Times New Roman" w:hAnsi="Times New Roman" w:cs="Times New Roman"/>
          <w:b/>
          <w:sz w:val="28"/>
          <w:szCs w:val="28"/>
        </w:rPr>
        <w:t xml:space="preserve">Приложение № 5</w:t>
      </w:r>
      <w:r/>
    </w:p>
    <w:p>
      <w:pPr>
        <w:pStyle w:val="1190"/>
        <w:ind w:left="8640" w:right="0" w:firstLine="720"/>
        <w:jc w:val="right"/>
        <w:widowControl w:val="off"/>
      </w:pPr>
      <w:r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 xml:space="preserve">к муниципальной программе </w:t>
      </w:r>
      <w:r/>
    </w:p>
    <w:p>
      <w:pPr>
        <w:pStyle w:val="1190"/>
        <w:ind w:left="8640" w:right="0" w:firstLine="720"/>
        <w:jc w:val="right"/>
        <w:widowControl w:val="off"/>
      </w:pPr>
      <w:r>
        <w:rPr>
          <w:b/>
          <w:sz w:val="28"/>
          <w:szCs w:val="28"/>
        </w:rPr>
        <w:t xml:space="preserve">Чернянского района</w:t>
      </w:r>
      <w:r/>
    </w:p>
    <w:p>
      <w:pPr>
        <w:pStyle w:val="1234"/>
        <w:numPr>
          <w:ilvl w:val="0"/>
          <w:numId w:val="0"/>
        </w:numPr>
        <w:ind w:left="0" w:right="0" w:firstLine="720"/>
        <w:jc w:val="right"/>
        <w:outlineLvl w:val="2"/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«Совершенствование и развитие</w:t>
      </w:r>
      <w:r/>
    </w:p>
    <w:p>
      <w:pPr>
        <w:pStyle w:val="1234"/>
        <w:numPr>
          <w:ilvl w:val="0"/>
          <w:numId w:val="0"/>
        </w:numPr>
        <w:ind w:left="0" w:right="0" w:firstLine="720"/>
        <w:jc w:val="right"/>
        <w:outlineLvl w:val="2"/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транспортной системы и  </w:t>
      </w:r>
      <w:r/>
    </w:p>
    <w:p>
      <w:pPr>
        <w:pStyle w:val="1234"/>
        <w:numPr>
          <w:ilvl w:val="0"/>
          <w:numId w:val="0"/>
        </w:numPr>
        <w:ind w:left="0" w:right="0" w:firstLine="720"/>
        <w:jc w:val="right"/>
        <w:outlineLvl w:val="2"/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дорожной сети Чернянского района </w:t>
      </w:r>
      <w:r/>
    </w:p>
    <w:p>
      <w:pPr>
        <w:pStyle w:val="1234"/>
        <w:numPr>
          <w:ilvl w:val="0"/>
          <w:numId w:val="0"/>
        </w:numPr>
        <w:ind w:left="0" w:right="0" w:firstLine="720"/>
        <w:jc w:val="right"/>
        <w:outlineLvl w:val="2"/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Белгородской области»</w:t>
      </w:r>
      <w:r/>
    </w:p>
    <w:p>
      <w:pPr>
        <w:pStyle w:val="1234"/>
        <w:numPr>
          <w:ilvl w:val="0"/>
          <w:numId w:val="0"/>
        </w:numPr>
        <w:ind w:left="0" w:right="0" w:firstLine="720"/>
        <w:jc w:val="right"/>
        <w:outlineLvl w:val="2"/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/>
    </w:p>
    <w:p>
      <w:pPr>
        <w:pStyle w:val="1234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Бюджетная заявка на ассигнования из бюджета Чернянского района на 2024 год и</w:t>
      </w:r>
      <w:r/>
    </w:p>
    <w:p>
      <w:pPr>
        <w:pStyle w:val="1234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на плановый период 2025-2026 годов для финансирования муниципальной программы </w:t>
      </w:r>
      <w:r/>
    </w:p>
    <w:p>
      <w:pPr>
        <w:pStyle w:val="1234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«Совершенствование и развития транспортной системы и дорожной сети Чернянского района</w:t>
      </w:r>
      <w:r/>
    </w:p>
    <w:p>
      <w:pPr>
        <w:pStyle w:val="1234"/>
        <w:numPr>
          <w:ilvl w:val="0"/>
          <w:numId w:val="0"/>
        </w:numPr>
        <w:ind w:left="0" w:right="0" w:firstLine="720"/>
        <w:jc w:val="center"/>
        <w:outlineLvl w:val="2"/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Белгородской области»</w:t>
      </w:r>
      <w:r/>
    </w:p>
    <w:p>
      <w:pPr>
        <w:pStyle w:val="1234"/>
        <w:numPr>
          <w:ilvl w:val="0"/>
          <w:numId w:val="0"/>
        </w:numPr>
        <w:ind w:left="0" w:right="0" w:firstLine="720"/>
        <w:jc w:val="center"/>
        <w:rPr>
          <w:rFonts w:ascii="Times New Roman" w:hAnsi="Times New Roman" w:cs="Times New Roman"/>
          <w:b/>
          <w:sz w:val="28"/>
          <w:szCs w:val="28"/>
        </w:rPr>
        <w:outlineLvl w:val="2"/>
      </w:pPr>
      <w:r>
        <w:rPr>
          <w:rFonts w:ascii="Times New Roman" w:hAnsi="Times New Roman" w:cs="Times New Roman"/>
          <w:b/>
          <w:sz w:val="28"/>
          <w:szCs w:val="28"/>
        </w:rPr>
      </w:r>
      <w:r/>
    </w:p>
    <w:tbl>
      <w:tblPr>
        <w:tblW w:w="0" w:type="auto"/>
        <w:tblInd w:w="284" w:type="dxa"/>
        <w:tblLayout w:type="fixed"/>
        <w:tblCellMar>
          <w:left w:w="75" w:type="dxa"/>
          <w:top w:w="0" w:type="dxa"/>
          <w:right w:w="75" w:type="dxa"/>
          <w:bottom w:w="0" w:type="dxa"/>
        </w:tblCellMar>
        <w:tblLook w:val="04A0" w:firstRow="1" w:lastRow="0" w:firstColumn="1" w:lastColumn="0" w:noHBand="0" w:noVBand="1"/>
      </w:tblPr>
      <w:tblGrid>
        <w:gridCol w:w="709"/>
        <w:gridCol w:w="2201"/>
        <w:gridCol w:w="1275"/>
        <w:gridCol w:w="1067"/>
        <w:gridCol w:w="1444"/>
        <w:gridCol w:w="1416"/>
        <w:gridCol w:w="994"/>
        <w:gridCol w:w="1201"/>
        <w:gridCol w:w="1462"/>
        <w:gridCol w:w="990"/>
        <w:gridCol w:w="1367"/>
        <w:gridCol w:w="1553"/>
      </w:tblGrid>
      <w:tr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vMerge w:val="restart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  <w:br w:type="textWrapping" w:clear="all"/>
              <w:t xml:space="preserve">п/п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1" w:type="dxa"/>
            <w:vAlign w:val="top"/>
            <w:vMerge w:val="restart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  <w:br w:type="textWrapping" w:clear="all"/>
              <w:t xml:space="preserve">  разделов,  </w:t>
              <w:br w:type="textWrapping" w:clear="all"/>
              <w:t xml:space="preserve">подразделов, </w:t>
              <w:br w:type="textWrapping" w:clear="all"/>
              <w:t xml:space="preserve"> мероприятий   муниципальной   </w:t>
              <w:br w:type="textWrapping" w:clear="all"/>
              <w:t xml:space="preserve">  программы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top"/>
            <w:vMerge w:val="restart"/>
            <w:textDirection w:val="lrTb"/>
            <w:noWrap w:val="false"/>
          </w:tcPr>
          <w:p>
            <w:pPr>
              <w:pStyle w:val="1239"/>
              <w:ind w:left="-75" w:right="-129" w:firstLine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Плановый</w:t>
              <w:br w:type="textWrapping" w:clear="all"/>
              <w:t xml:space="preserve"> объем  </w:t>
              <w:br w:type="textWrapping" w:clear="all"/>
              <w:t xml:space="preserve"> ассиг– </w:t>
              <w:br w:type="textWrapping" w:clear="all"/>
              <w:t xml:space="preserve">нований               на   </w:t>
              <w:br w:type="textWrapping" w:clear="all"/>
              <w:t xml:space="preserve">текущий </w:t>
              <w:br w:type="textWrapping" w:clear="all"/>
              <w:t xml:space="preserve"> финан– </w:t>
              <w:br w:type="textWrapping" w:clear="all"/>
              <w:t xml:space="preserve"> совый  </w:t>
              <w:br w:type="textWrapping" w:clear="all"/>
              <w:t xml:space="preserve">  год,  </w:t>
              <w:br w:type="textWrapping" w:clear="all"/>
              <w:t xml:space="preserve">  тыс.  </w:t>
              <w:br w:type="textWrapping" w:clear="all"/>
              <w:t xml:space="preserve"> рублей</w:t>
            </w:r>
            <w:r/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94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Требуемый объем бюджетных ассигнований, тыс. рублей</w:t>
            </w:r>
            <w:r/>
          </w:p>
        </w:tc>
      </w:tr>
      <w:tr>
        <w:trPr>
          <w:trHeight w:val="5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1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7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финансовый год</w:t>
            </w:r>
            <w:r/>
          </w:p>
        </w:tc>
        <w:tc>
          <w:tcPr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7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первый год планового    </w:t>
              <w:br w:type="textWrapping" w:clear="all"/>
              <w:t xml:space="preserve">          периода</w:t>
            </w:r>
            <w:r/>
          </w:p>
        </w:tc>
        <w:tc>
          <w:tcPr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10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второй год планового    </w:t>
              <w:br w:type="textWrapping" w:clear="all"/>
              <w:t xml:space="preserve">          периода</w:t>
            </w:r>
            <w:r/>
          </w:p>
        </w:tc>
      </w:tr>
      <w:tr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1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7" w:type="dxa"/>
            <w:vAlign w:val="top"/>
            <w:vMerge w:val="restart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0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top"/>
            <w:vMerge w:val="restart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Align w:val="top"/>
            <w:vMerge w:val="restart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20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</w:t>
            </w:r>
            <w:r/>
          </w:p>
        </w:tc>
      </w:tr>
      <w:tr>
        <w:trPr>
          <w:trHeight w:val="12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1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7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4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соответ–</w:t>
              <w:br w:type="textWrapping" w:clear="all"/>
              <w:t xml:space="preserve"> ствии с  </w:t>
              <w:br w:type="textWrapping" w:clear="all"/>
              <w:t xml:space="preserve"> утверж–  </w:t>
              <w:br w:type="textWrapping" w:clear="all"/>
              <w:t xml:space="preserve">  денной  </w:t>
              <w:br w:type="textWrapping" w:clear="all"/>
              <w:t xml:space="preserve">программой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Дополни-тельно необходи-мый </w:t>
              <w:br w:type="textWrapping" w:clear="all"/>
              <w:t xml:space="preserve">объем/</w:t>
            </w:r>
            <w:r/>
          </w:p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  <w:br w:type="textWrapping" w:clear="all"/>
              <w:t xml:space="preserve"> средств по  </w:t>
              <w:br w:type="textWrapping" w:clear="all"/>
              <w:t xml:space="preserve">   проекту программы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1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соответ–</w:t>
              <w:br w:type="textWrapping" w:clear="all"/>
              <w:t xml:space="preserve"> ствии с  </w:t>
              <w:br w:type="textWrapping" w:clear="all"/>
              <w:t xml:space="preserve"> утверж–  </w:t>
              <w:br w:type="textWrapping" w:clear="all"/>
              <w:t xml:space="preserve">  денной  </w:t>
              <w:br w:type="textWrapping" w:clear="all"/>
              <w:t xml:space="preserve">програм-мой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2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Допол–   </w:t>
              <w:br w:type="textWrapping" w:clear="all"/>
              <w:t xml:space="preserve"> нительно  </w:t>
              <w:br w:type="textWrapping" w:clear="all"/>
              <w:t xml:space="preserve">необходи-мый</w:t>
              <w:br w:type="textWrapping" w:clear="all"/>
              <w:t xml:space="preserve">объем/</w:t>
            </w:r>
            <w:r/>
          </w:p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</w:t>
              <w:br w:type="textWrapping" w:clear="all"/>
              <w:t xml:space="preserve">средств по </w:t>
              <w:br w:type="textWrapping" w:clear="all"/>
              <w:t xml:space="preserve">  проекту  </w:t>
              <w:br w:type="textWrapping" w:clear="all"/>
              <w:t xml:space="preserve"> программы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Align w:val="top"/>
            <w:vMerge w:val="continue"/>
            <w:textDirection w:val="lrTb"/>
            <w:noWrap w:val="false"/>
          </w:tcPr>
          <w:p>
            <w:pPr>
              <w:pStyle w:val="1190"/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7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соответ–</w:t>
              <w:br w:type="textWrapping" w:clear="all"/>
              <w:t xml:space="preserve"> ствии с  </w:t>
              <w:br w:type="textWrapping" w:clear="all"/>
              <w:t xml:space="preserve"> утверж–  </w:t>
              <w:br w:type="textWrapping" w:clear="all"/>
              <w:t xml:space="preserve">  денной  </w:t>
              <w:br w:type="textWrapping" w:clear="all"/>
              <w:t xml:space="preserve">програм-мой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3" w:type="dxa"/>
            <w:vAlign w:val="top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Дополни–  </w:t>
              <w:br w:type="textWrapping" w:clear="all"/>
              <w:t xml:space="preserve">  тельно   </w:t>
              <w:br w:type="textWrapping" w:clear="all"/>
              <w:t xml:space="preserve">необходи-мый</w:t>
              <w:br w:type="textWrapping" w:clear="all"/>
              <w:t xml:space="preserve">объем/</w:t>
            </w:r>
            <w:r/>
          </w:p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</w:t>
              <w:br w:type="textWrapping" w:clear="all"/>
              <w:t xml:space="preserve">средств по </w:t>
              <w:br w:type="textWrapping" w:clear="all"/>
              <w:t xml:space="preserve">  проекту  </w:t>
              <w:br w:type="textWrapping" w:clear="all"/>
              <w:t xml:space="preserve">программы</w:t>
            </w:r>
            <w:r/>
          </w:p>
        </w:tc>
      </w:tr>
      <w:tr>
        <w:trPr>
          <w:trHeight w:val="36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239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1. </w:t>
            </w:r>
            <w:r>
              <w:rPr>
                <w:highlight w:val="white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1" w:type="dxa"/>
            <w:vAlign w:val="top"/>
            <w:textDirection w:val="lrTb"/>
            <w:noWrap w:val="false"/>
          </w:tcPr>
          <w:p>
            <w:pPr>
              <w:pStyle w:val="1239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По программе </w:t>
              <w:br w:type="textWrapping" w:clear="all"/>
              <w:t xml:space="preserve">в целом      </w:t>
            </w:r>
            <w:r>
              <w:rPr>
                <w:highlight w:val="white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highlight w:val="white"/>
              </w:rPr>
              <w:t xml:space="preserve">111 001,1</w:t>
            </w:r>
            <w:r>
              <w:rPr>
                <w:sz w:val="22"/>
                <w:szCs w:val="22"/>
                <w:highlight w:val="white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7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highlight w:val="white"/>
              </w:rPr>
              <w:t xml:space="preserve">112 641,1</w:t>
            </w:r>
            <w:r>
              <w:rPr>
                <w:sz w:val="22"/>
                <w:szCs w:val="22"/>
                <w:highlight w:val="white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4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highlight w:val="white"/>
              </w:rPr>
              <w:t xml:space="preserve">111 001,1</w:t>
            </w:r>
            <w:r>
              <w:rPr>
                <w:sz w:val="22"/>
                <w:szCs w:val="22"/>
                <w:highlight w:val="white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highlight w:val="white"/>
              </w:rPr>
              <w:t xml:space="preserve">1 640</w:t>
            </w:r>
            <w:r>
              <w:rPr>
                <w:sz w:val="22"/>
                <w:szCs w:val="22"/>
                <w:highlight w:val="white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highlight w:val="white"/>
              </w:rPr>
              <w:t xml:space="preserve">34 223,1</w:t>
            </w:r>
            <w:r>
              <w:rPr>
                <w:sz w:val="22"/>
                <w:szCs w:val="22"/>
                <w:highlight w:val="white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1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highlight w:val="white"/>
              </w:rPr>
              <w:t xml:space="preserve">32 583,1</w:t>
            </w:r>
            <w:r>
              <w:rPr>
                <w:sz w:val="22"/>
                <w:szCs w:val="22"/>
                <w:highlight w:val="white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2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highlight w:val="white"/>
              </w:rPr>
              <w:t xml:space="preserve">1 640</w:t>
            </w:r>
            <w:r>
              <w:rPr>
                <w:sz w:val="22"/>
                <w:szCs w:val="22"/>
                <w:highlight w:val="white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highlight w:val="white"/>
              </w:rPr>
              <w:t xml:space="preserve">16 178,1</w:t>
            </w:r>
            <w:r>
              <w:rPr>
                <w:sz w:val="22"/>
                <w:szCs w:val="22"/>
                <w:highlight w:val="white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7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highlight w:val="white"/>
              </w:rPr>
              <w:t xml:space="preserve">14 538,1</w:t>
            </w:r>
            <w:r>
              <w:rPr>
                <w:sz w:val="22"/>
                <w:szCs w:val="22"/>
                <w:highlight w:val="white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highlight w:val="white"/>
              </w:rPr>
              <w:t xml:space="preserve">1 640</w:t>
            </w:r>
            <w:r>
              <w:rPr>
                <w:sz w:val="22"/>
                <w:szCs w:val="22"/>
                <w:highlight w:val="white"/>
              </w:rPr>
            </w:r>
            <w:r/>
          </w:p>
        </w:tc>
      </w:tr>
      <w:tr>
        <w:trPr>
          <w:trHeight w:val="540"/>
        </w:trPr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10" w:type="dxa"/>
            <w:vAlign w:val="top"/>
            <w:textDirection w:val="lrTb"/>
            <w:noWrap w:val="false"/>
          </w:tcPr>
          <w:p>
            <w:pPr>
              <w:pStyle w:val="1239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 по основным  </w:t>
              <w:br w:type="textWrapping" w:clear="all"/>
              <w:t xml:space="preserve">мероприятиям: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top"/>
            <w:textDirection w:val="lrTb"/>
            <w:noWrap w:val="false"/>
          </w:tcPr>
          <w:p>
            <w:pPr>
              <w:pStyle w:val="12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7" w:type="dxa"/>
            <w:vAlign w:val="top"/>
            <w:textDirection w:val="lrTb"/>
            <w:noWrap w:val="false"/>
          </w:tcPr>
          <w:p>
            <w:pPr>
              <w:pStyle w:val="12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4" w:type="dxa"/>
            <w:vAlign w:val="top"/>
            <w:textDirection w:val="lrTb"/>
            <w:noWrap w:val="false"/>
          </w:tcPr>
          <w:p>
            <w:pPr>
              <w:pStyle w:val="12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vAlign w:val="top"/>
            <w:textDirection w:val="lrTb"/>
            <w:noWrap w:val="false"/>
          </w:tcPr>
          <w:p>
            <w:pPr>
              <w:pStyle w:val="12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top"/>
            <w:textDirection w:val="lrTb"/>
            <w:noWrap w:val="false"/>
          </w:tcPr>
          <w:p>
            <w:pPr>
              <w:pStyle w:val="12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1" w:type="dxa"/>
            <w:vAlign w:val="top"/>
            <w:textDirection w:val="lrTb"/>
            <w:noWrap w:val="false"/>
          </w:tcPr>
          <w:p>
            <w:pPr>
              <w:pStyle w:val="12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2" w:type="dxa"/>
            <w:vAlign w:val="top"/>
            <w:textDirection w:val="lrTb"/>
            <w:noWrap w:val="false"/>
          </w:tcPr>
          <w:p>
            <w:pPr>
              <w:pStyle w:val="12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Align w:val="top"/>
            <w:textDirection w:val="lrTb"/>
            <w:noWrap w:val="false"/>
          </w:tcPr>
          <w:p>
            <w:pPr>
              <w:pStyle w:val="12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7" w:type="dxa"/>
            <w:vAlign w:val="top"/>
            <w:textDirection w:val="lrTb"/>
            <w:noWrap w:val="false"/>
          </w:tcPr>
          <w:p>
            <w:pPr>
              <w:pStyle w:val="12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3" w:type="dxa"/>
            <w:vAlign w:val="top"/>
            <w:textDirection w:val="lrTb"/>
            <w:noWrap w:val="false"/>
          </w:tcPr>
          <w:p>
            <w:pPr>
              <w:pStyle w:val="12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239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1" w:type="dxa"/>
            <w:vAlign w:val="top"/>
            <w:textDirection w:val="lrTb"/>
            <w:noWrap w:val="false"/>
          </w:tcPr>
          <w:p>
            <w:pPr>
              <w:pStyle w:val="1190"/>
              <w:widowControl w:val="off"/>
            </w:pPr>
            <w:r>
              <w:t xml:space="preserve">Основное     </w:t>
              <w:br w:type="textWrapping" w:clear="all"/>
              <w:t xml:space="preserve">мероприятие 1. «Содержание и ремонт автомобильных дорог местного значения и искусственных сооружений на них, относящихся  к улично-дорожной сети населенных пунктов района»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18 713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7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19 713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4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18 713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1 000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19 004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1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18 004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2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1 000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14 780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7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13 780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1 000</w:t>
            </w:r>
            <w:r/>
          </w:p>
        </w:tc>
      </w:tr>
      <w:tr>
        <w:trPr>
          <w:trHeight w:val="36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239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1" w:type="dxa"/>
            <w:vAlign w:val="top"/>
            <w:textDirection w:val="lrTb"/>
            <w:noWrap w:val="false"/>
          </w:tcPr>
          <w:p>
            <w:pPr>
              <w:pStyle w:val="1239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    </w:t>
              <w:br w:type="textWrapping" w:clear="all"/>
              <w:t xml:space="preserve">мероприятие 2. «Капитальный ремонт и ремонт автомобильных дорог местного значения, относящихся  к улично-дорожной сети населенных пунктов района»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76 304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7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4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76 304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1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2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7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/>
          </w:p>
        </w:tc>
      </w:tr>
      <w:tr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239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201" w:type="dxa"/>
            <w:vAlign w:val="top"/>
            <w:textDirection w:val="lrTb"/>
            <w:noWrap w:val="false"/>
          </w:tcPr>
          <w:p>
            <w:pPr>
              <w:pStyle w:val="1239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ное     </w:t>
              <w:br/>
              <w:t xml:space="preserve">мероприятие 3. «Субсидии на строительство (реконструкцию)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067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444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416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01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462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90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67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/>
          </w:p>
        </w:tc>
      </w:tr>
      <w:tr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239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1.4.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1" w:type="dxa"/>
            <w:vAlign w:val="top"/>
            <w:textDirection w:val="lrTb"/>
            <w:noWrap w:val="false"/>
          </w:tcPr>
          <w:p>
            <w:pPr>
              <w:pStyle w:val="1239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    </w:t>
              <w:br w:type="textWrapping" w:clear="all"/>
              <w:t xml:space="preserve">мероприятие 4. «Установка новых дорожных знаков и строительство пешеходных тротуаров».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7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4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1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2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7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200</w:t>
            </w:r>
            <w:r/>
          </w:p>
        </w:tc>
      </w:tr>
      <w:tr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239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1" w:type="dxa"/>
            <w:vAlign w:val="top"/>
            <w:textDirection w:val="lrTb"/>
            <w:noWrap w:val="false"/>
          </w:tcPr>
          <w:p>
            <w:pPr>
              <w:pStyle w:val="1239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    </w:t>
              <w:br w:type="textWrapping" w:clear="all"/>
              <w:t xml:space="preserve">мероприятие 5. «Средства на проезд студентов, аспирантов и учащихся учебных заведений области».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1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</w:tr>
      <w:tr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1239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1.6.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1" w:type="dxa"/>
            <w:vAlign w:val="top"/>
            <w:textDirection w:val="lrTb"/>
            <w:noWrap w:val="false"/>
          </w:tcPr>
          <w:p>
            <w:pPr>
              <w:pStyle w:val="1239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    </w:t>
              <w:br w:type="textWrapping" w:clear="all"/>
              <w:t xml:space="preserve">мероприятие 6.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на покрытие убытков  по организации транспортного обслуживания на внутримуниципальном пригородном сообщении».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15 226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7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15 626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4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15 226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14 221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1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13 821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2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7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123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/>
          </w:p>
        </w:tc>
      </w:tr>
    </w:tbl>
    <w:p>
      <w:pPr>
        <w:pStyle w:val="1234"/>
        <w:numPr>
          <w:ilvl w:val="0"/>
          <w:numId w:val="0"/>
        </w:numPr>
        <w:ind w:left="0" w:right="0" w:firstLine="720"/>
        <w:jc w:val="right"/>
        <w:outlineLvl w:val="2"/>
      </w:pPr>
      <w:r/>
      <w:r/>
    </w:p>
    <w:p>
      <w:pPr>
        <w:pStyle w:val="1234"/>
        <w:numPr>
          <w:ilvl w:val="0"/>
          <w:numId w:val="0"/>
        </w:numPr>
        <w:ind w:left="0" w:right="0" w:firstLine="720"/>
        <w:jc w:val="right"/>
        <w:outlineLvl w:val="2"/>
      </w:pPr>
      <w:r/>
      <w:r/>
    </w:p>
    <w:p>
      <w:pPr>
        <w:pStyle w:val="1234"/>
        <w:numPr>
          <w:ilvl w:val="0"/>
          <w:numId w:val="0"/>
        </w:numPr>
        <w:ind w:left="0" w:right="0" w:firstLine="720"/>
        <w:jc w:val="right"/>
        <w:outlineLvl w:val="2"/>
      </w:pPr>
      <w:r/>
      <w:r/>
    </w:p>
    <w:p>
      <w:pPr>
        <w:pStyle w:val="1234"/>
        <w:numPr>
          <w:ilvl w:val="0"/>
          <w:numId w:val="0"/>
        </w:numPr>
        <w:ind w:left="0" w:right="0" w:firstLine="720"/>
        <w:jc w:val="right"/>
        <w:outlineLvl w:val="2"/>
      </w:pPr>
      <w:r/>
      <w:r/>
    </w:p>
    <w:p>
      <w:pPr>
        <w:pStyle w:val="1234"/>
        <w:numPr>
          <w:ilvl w:val="0"/>
          <w:numId w:val="0"/>
        </w:numPr>
        <w:ind w:left="0" w:right="0" w:firstLine="720"/>
        <w:jc w:val="right"/>
        <w:outlineLvl w:val="2"/>
      </w:pPr>
      <w:r/>
      <w:r/>
    </w:p>
    <w:p>
      <w:pPr>
        <w:pStyle w:val="1190"/>
        <w:numPr>
          <w:ilvl w:val="0"/>
          <w:numId w:val="0"/>
        </w:numPr>
        <w:ind w:left="10800" w:right="0" w:firstLine="0"/>
        <w:jc w:val="right"/>
        <w:widowControl w:val="off"/>
        <w:outlineLvl w:val="1"/>
      </w:pPr>
      <w:r>
        <w:rPr>
          <w:b/>
          <w:sz w:val="28"/>
          <w:szCs w:val="28"/>
        </w:rPr>
        <w:t xml:space="preserve">Приложение № 6</w:t>
      </w:r>
      <w:r/>
    </w:p>
    <w:p>
      <w:pPr>
        <w:pStyle w:val="1190"/>
        <w:jc w:val="right"/>
        <w:widowControl w:val="off"/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>
        <w:rPr>
          <w:b/>
          <w:sz w:val="28"/>
          <w:szCs w:val="28"/>
        </w:rPr>
        <w:t xml:space="preserve">к муниципальной программе  </w:t>
      </w:r>
      <w:r/>
    </w:p>
    <w:p>
      <w:pPr>
        <w:pStyle w:val="1190"/>
        <w:jc w:val="right"/>
        <w:widowControl w:val="off"/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  <w:r>
        <w:rPr>
          <w:b/>
          <w:sz w:val="28"/>
          <w:szCs w:val="28"/>
        </w:rPr>
        <w:t xml:space="preserve">Чернянского района</w:t>
      </w:r>
      <w:r/>
    </w:p>
    <w:p>
      <w:pPr>
        <w:pStyle w:val="1190"/>
        <w:jc w:val="right"/>
        <w:widowControl w:val="off"/>
      </w:pPr>
      <w:r>
        <w:rPr>
          <w:b/>
          <w:sz w:val="28"/>
          <w:szCs w:val="28"/>
        </w:rPr>
        <w:t xml:space="preserve">                                                               </w:t>
      </w:r>
      <w:r>
        <w:rPr>
          <w:b/>
          <w:sz w:val="28"/>
          <w:szCs w:val="28"/>
        </w:rPr>
        <w:t xml:space="preserve">«Совершенствование и развитие  </w:t>
      </w:r>
      <w:r/>
    </w:p>
    <w:p>
      <w:pPr>
        <w:pStyle w:val="1190"/>
        <w:jc w:val="right"/>
        <w:widowControl w:val="off"/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</w:t>
      </w:r>
      <w:r>
        <w:rPr>
          <w:b/>
          <w:sz w:val="28"/>
          <w:szCs w:val="28"/>
        </w:rPr>
        <w:t xml:space="preserve">транспортной системы и дорожной сети  </w:t>
      </w:r>
      <w:r/>
    </w:p>
    <w:p>
      <w:pPr>
        <w:pStyle w:val="1190"/>
        <w:jc w:val="right"/>
        <w:widowControl w:val="off"/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</w:t>
      </w:r>
      <w:r>
        <w:rPr>
          <w:b/>
          <w:sz w:val="28"/>
          <w:szCs w:val="28"/>
        </w:rPr>
        <w:t xml:space="preserve">Чернянского района Белгородской области»</w:t>
      </w:r>
      <w:r/>
    </w:p>
    <w:p>
      <w:pPr>
        <w:pStyle w:val="119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1190"/>
        <w:jc w:val="center"/>
      </w:pPr>
      <w:r>
        <w:rPr>
          <w:b/>
          <w:sz w:val="28"/>
          <w:szCs w:val="28"/>
        </w:rPr>
        <w:t xml:space="preserve">Сведения о методике расчета показателей конечного результата муниципальной программы «Совершенствование и развитие транспортной системы и дорожной сети Чернянского района Белгородской области»</w:t>
      </w:r>
      <w:r/>
    </w:p>
    <w:p>
      <w:pPr>
        <w:pStyle w:val="119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tbl>
      <w:tblPr>
        <w:tblW w:w="0" w:type="auto"/>
        <w:tblInd w:w="28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074"/>
        <w:gridCol w:w="5021"/>
        <w:gridCol w:w="1441"/>
        <w:gridCol w:w="3850"/>
        <w:gridCol w:w="2391"/>
        <w:gridCol w:w="1984"/>
      </w:tblGrid>
      <w:tr>
        <w:trPr>
          <w:trHeight w:val="66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rPr>
                <w:b/>
              </w:rPr>
              <w:t xml:space="preserve">№</w:t>
            </w:r>
            <w:r/>
          </w:p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rPr>
                <w:b/>
              </w:rPr>
              <w:t xml:space="preserve">п/п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21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rPr>
                <w:b/>
              </w:rPr>
              <w:t xml:space="preserve">Наименование показателя конечного результата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1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rPr>
                <w:b/>
              </w:rPr>
              <w:t xml:space="preserve">Единица измерения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5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rPr>
                <w:b/>
              </w:rPr>
              <w:t xml:space="preserve">Алгоритм формирования (формула) и методологические пояснения к показателю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91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rPr>
                <w:b/>
              </w:rPr>
              <w:t xml:space="preserve">Метод сбора информации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rPr>
                <w:b/>
              </w:rPr>
              <w:t xml:space="preserve">Временные характеристики показателя</w:t>
            </w:r>
            <w:r/>
          </w:p>
        </w:tc>
      </w:tr>
      <w:tr>
        <w:trPr>
          <w:trHeight w:val="11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4" w:type="dxa"/>
            <w:vAlign w:val="center"/>
            <w:textDirection w:val="lrTb"/>
            <w:noWrap w:val="false"/>
          </w:tcPr>
          <w:p>
            <w:pPr>
              <w:pStyle w:val="1190"/>
              <w:tabs>
                <w:tab w:val="left" w:pos="960" w:leader="none"/>
              </w:tabs>
              <w:rPr>
                <w:b/>
              </w:rPr>
            </w:pPr>
            <w:r>
              <w:rPr>
                <w:b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21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widowControl w:val="off"/>
            </w:pPr>
            <w:r>
              <w:rPr>
                <w:b/>
              </w:rPr>
              <w:t xml:space="preserve">Муниципальная программа «Совершенствование и развитие транспортной системы и дорожной сети Чернянского района Белгородской области»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1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5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91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t xml:space="preserve">-</w:t>
            </w:r>
            <w:r/>
          </w:p>
        </w:tc>
      </w:tr>
      <w:tr>
        <w:trPr>
          <w:trHeight w:val="251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21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Увеличение доли автомобильных дорог  местного  значения, относящихся к улично-дорожной сети населенных пунктов  района, отвечающих нормативным требованиям в общей протяженности автомобильных дорог, относящихся  к улично-дорожной  сети   до   95,2 %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1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t xml:space="preserve">%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5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rPr>
                <w:b/>
              </w:rPr>
              <w:t xml:space="preserve">Да = Пн/Побщ*100%</w:t>
            </w:r>
            <w:r/>
          </w:p>
          <w:p>
            <w:pPr>
              <w:pStyle w:val="1190"/>
              <w:tabs>
                <w:tab w:val="left" w:pos="960" w:leader="none"/>
              </w:tabs>
            </w:pPr>
            <w:r>
              <w:t xml:space="preserve">где:</w:t>
            </w:r>
            <w:r/>
          </w:p>
          <w:p>
            <w:pPr>
              <w:pStyle w:val="1190"/>
              <w:tabs>
                <w:tab w:val="left" w:pos="960" w:leader="none"/>
              </w:tabs>
            </w:pPr>
            <w:r>
              <w:rPr>
                <w:b/>
                <w:u w:val="single"/>
              </w:rPr>
              <w:t xml:space="preserve">Да</w:t>
            </w:r>
            <w:r>
              <w:t xml:space="preserve">- доля автодорог, %;                            </w:t>
            </w:r>
            <w:r>
              <w:rPr>
                <w:b/>
                <w:u w:val="single"/>
              </w:rPr>
              <w:t xml:space="preserve">Пн</w:t>
            </w:r>
            <w:r>
              <w:t xml:space="preserve">- нормативная протяженность автодорог, км;                                   </w:t>
            </w:r>
            <w:r>
              <w:rPr>
                <w:b/>
                <w:u w:val="single"/>
              </w:rPr>
              <w:t xml:space="preserve">Побщ</w:t>
            </w:r>
            <w:r>
              <w:t xml:space="preserve"> – общая протяженность автодорог, км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91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t xml:space="preserve">Итоги ремонта дорог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t xml:space="preserve">ежегодно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21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Увеличение густоты автомобильных дорог, относящихся к улично-дорожной сети населенных пунктов района   с твердым покрытием на 1000 кв. км территории до 333,3 км.</w:t>
            </w:r>
            <w:r/>
          </w:p>
          <w:p>
            <w:pPr>
              <w:pStyle w:val="1190"/>
              <w:jc w:val="center"/>
              <w:tabs>
                <w:tab w:val="left" w:pos="960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1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rPr>
                <w:color w:val="000000"/>
              </w:rPr>
              <w:t xml:space="preserve">км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5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rPr>
                <w:b/>
              </w:rPr>
              <w:t xml:space="preserve">Га = Пт/К</w:t>
            </w:r>
            <w:r/>
          </w:p>
          <w:p>
            <w:pPr>
              <w:pStyle w:val="1190"/>
              <w:tabs>
                <w:tab w:val="left" w:pos="960" w:leader="none"/>
              </w:tabs>
            </w:pPr>
            <w:r>
              <w:t xml:space="preserve">где:</w:t>
            </w:r>
            <w:r/>
          </w:p>
          <w:p>
            <w:pPr>
              <w:pStyle w:val="1190"/>
              <w:tabs>
                <w:tab w:val="left" w:pos="960" w:leader="none"/>
              </w:tabs>
            </w:pPr>
            <w:r>
              <w:rPr>
                <w:b/>
                <w:u w:val="single"/>
              </w:rPr>
              <w:t xml:space="preserve">Га</w:t>
            </w:r>
            <w:r>
              <w:t xml:space="preserve"> – густота автодорог, км;                    </w:t>
            </w:r>
            <w:r>
              <w:rPr>
                <w:b/>
                <w:u w:val="single"/>
              </w:rPr>
              <w:t xml:space="preserve">Пт</w:t>
            </w:r>
            <w:r>
              <w:t xml:space="preserve"> – протяженность автодорог с твердым покрытием, км;                              </w:t>
            </w:r>
            <w:r>
              <w:rPr>
                <w:b/>
                <w:u w:val="single"/>
              </w:rPr>
              <w:t xml:space="preserve">К</w:t>
            </w:r>
            <w:r>
              <w:t xml:space="preserve"> – количество тыс.кв.км. в районе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91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t xml:space="preserve">Итоги ремонта дорог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t xml:space="preserve">ежегодно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21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Увеличение общей протяженности построенных автомобильных дорог местного значения, относящихся к улично-дорожной сети населенных пунктов района и в микрорайонах массовой жилищной застройки с твердым покрытием на 18,139  км.</w:t>
            </w:r>
            <w:r/>
          </w:p>
          <w:p>
            <w:pPr>
              <w:pStyle w:val="1190"/>
              <w:jc w:val="center"/>
              <w:tabs>
                <w:tab w:val="left" w:pos="960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1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t xml:space="preserve">км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5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rPr>
                <w:b/>
              </w:rPr>
              <w:t xml:space="preserve">Пм = ΣП1м+П2м+….</w:t>
            </w:r>
            <w:r/>
          </w:p>
          <w:p>
            <w:pPr>
              <w:pStyle w:val="1190"/>
              <w:tabs>
                <w:tab w:val="left" w:pos="960" w:leader="none"/>
              </w:tabs>
            </w:pPr>
            <w:r>
              <w:t xml:space="preserve">где:</w:t>
            </w:r>
            <w:r/>
          </w:p>
          <w:p>
            <w:pPr>
              <w:pStyle w:val="1190"/>
              <w:tabs>
                <w:tab w:val="left" w:pos="960" w:leader="none"/>
              </w:tabs>
            </w:pPr>
            <w:r>
              <w:rPr>
                <w:b/>
                <w:u w:val="single"/>
              </w:rPr>
              <w:t xml:space="preserve">Пм</w:t>
            </w:r>
            <w:r>
              <w:t xml:space="preserve"> – протяженность УДС в микрорайонах ИЖС, км;                             </w:t>
            </w:r>
            <w:r>
              <w:rPr>
                <w:b/>
                <w:u w:val="single"/>
              </w:rPr>
              <w:t xml:space="preserve">П1м, П2м</w:t>
            </w:r>
            <w:r>
              <w:t xml:space="preserve">, … - протяженность УДС в отдельных микрорайонах ИЖС, км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91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t xml:space="preserve">Итоги строительства дорог в микрорайонах ИЖС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t xml:space="preserve">ежегодно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21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Увеличение общей протяженности отремонтированных дорог местного значения, относящихся к улично-дорожной сети населенных пунктов района на 70 км.</w:t>
            </w:r>
            <w:r/>
          </w:p>
          <w:p>
            <w:pPr>
              <w:pStyle w:val="1190"/>
              <w:jc w:val="center"/>
              <w:tabs>
                <w:tab w:val="left" w:pos="960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1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rPr>
                <w:rStyle w:val="1226"/>
              </w:rPr>
              <w:t xml:space="preserve">км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5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rPr>
                <w:b/>
              </w:rPr>
              <w:t xml:space="preserve">Пр = ΣП1р+П2р+….</w:t>
            </w:r>
            <w:r/>
          </w:p>
          <w:p>
            <w:pPr>
              <w:pStyle w:val="1190"/>
              <w:tabs>
                <w:tab w:val="left" w:pos="960" w:leader="none"/>
              </w:tabs>
            </w:pPr>
            <w:r>
              <w:t xml:space="preserve">где:</w:t>
            </w:r>
            <w:r/>
          </w:p>
          <w:p>
            <w:pPr>
              <w:pStyle w:val="1190"/>
              <w:tabs>
                <w:tab w:val="left" w:pos="960" w:leader="none"/>
              </w:tabs>
            </w:pPr>
            <w:r>
              <w:rPr>
                <w:b/>
                <w:u w:val="single"/>
              </w:rPr>
              <w:t xml:space="preserve">Пр</w:t>
            </w:r>
            <w:r>
              <w:t xml:space="preserve"> – протяженность отремонтированных дорог, км;          </w:t>
            </w:r>
            <w:r>
              <w:rPr>
                <w:b/>
                <w:u w:val="single"/>
              </w:rPr>
              <w:t xml:space="preserve">П1р, П2р</w:t>
            </w:r>
            <w:r>
              <w:t xml:space="preserve"> – протяженность ремонта каждой дороги, км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91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t xml:space="preserve">Итоги ремонта дорог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t xml:space="preserve">ежегодно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t xml:space="preserve">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21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Рост пассажирооборота транспортом                   общего пользования до 11,8 млн. пасс.-км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1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rPr>
                <w:rStyle w:val="1226"/>
              </w:rPr>
              <w:t xml:space="preserve">пасс. км.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5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rPr>
                <w:b/>
              </w:rPr>
              <w:t xml:space="preserve">ПОф = </w:t>
            </w:r>
            <w:r>
              <w:rPr>
                <w:b/>
                <w:lang w:val="en-US"/>
              </w:rPr>
              <w:t xml:space="preserve">N</w:t>
            </w:r>
            <w:r>
              <w:rPr>
                <w:b/>
              </w:rPr>
              <w:t xml:space="preserve">пасс*</w:t>
            </w:r>
            <w:r>
              <w:rPr>
                <w:b/>
                <w:lang w:val="en-US"/>
              </w:rPr>
              <w:t xml:space="preserve">L</w:t>
            </w:r>
            <w:r/>
          </w:p>
          <w:p>
            <w:pPr>
              <w:pStyle w:val="1190"/>
              <w:tabs>
                <w:tab w:val="left" w:pos="960" w:leader="none"/>
              </w:tabs>
            </w:pPr>
            <w:r>
              <w:t xml:space="preserve">где:</w:t>
            </w:r>
            <w:r/>
          </w:p>
          <w:p>
            <w:pPr>
              <w:pStyle w:val="1190"/>
              <w:tabs>
                <w:tab w:val="left" w:pos="960" w:leader="none"/>
              </w:tabs>
            </w:pPr>
            <w:r>
              <w:rPr>
                <w:b/>
                <w:u w:val="single"/>
              </w:rPr>
              <w:t xml:space="preserve">ПОф</w:t>
            </w:r>
            <w:r>
              <w:t xml:space="preserve"> – пассажирооборот фактический, пасс.км;                                </w:t>
            </w:r>
            <w:r>
              <w:rPr>
                <w:b/>
                <w:u w:val="single"/>
                <w:lang w:val="en-US"/>
              </w:rPr>
              <w:t xml:space="preserve">N</w:t>
            </w:r>
            <w:r>
              <w:rPr>
                <w:b/>
                <w:u w:val="single"/>
              </w:rPr>
              <w:t xml:space="preserve">пасс</w:t>
            </w:r>
            <w:r>
              <w:t xml:space="preserve"> – количество перевезенных пассажиров, человек;                                        </w:t>
            </w:r>
            <w:r>
              <w:rPr>
                <w:b/>
                <w:u w:val="single"/>
                <w:lang w:val="en-US"/>
              </w:rPr>
              <w:t xml:space="preserve">L</w:t>
            </w:r>
            <w:r>
              <w:t xml:space="preserve">- протяженность пути, км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91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t xml:space="preserve">Итоговая информация транспортного предприятия, осуществляющего пассажирские перевозки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t xml:space="preserve">ежегодно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21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193" w:leader="none"/>
                <w:tab w:val="left" w:pos="373" w:leader="none"/>
              </w:tabs>
            </w:pPr>
            <w:r>
              <w:rPr>
                <w:b/>
                <w:bCs/>
              </w:rPr>
              <w:t xml:space="preserve">Подпрограмма 1 «</w:t>
            </w:r>
            <w:r>
              <w:rPr>
                <w:b/>
              </w:rPr>
              <w:t xml:space="preserve">Совершенствование и развитие дорожной сети</w:t>
            </w:r>
            <w:r>
              <w:rPr>
                <w:b/>
                <w:bCs/>
              </w:rPr>
              <w:t xml:space="preserve">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1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5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91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t xml:space="preserve">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21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Увеличение доли автомобильных дорог  местного  значения, относящихся к улично-дорожной сети населенных пунктов  района, отвечающих нормативным требованиям в общей протяженности автомобильных дорог, относящихся  к улично-дорожной  сети   до   95,2 %.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1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t xml:space="preserve">%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5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rPr>
                <w:b/>
              </w:rPr>
              <w:t xml:space="preserve">Да = Пн/Побщ*100%</w:t>
            </w:r>
            <w:r/>
          </w:p>
          <w:p>
            <w:pPr>
              <w:pStyle w:val="1190"/>
              <w:tabs>
                <w:tab w:val="left" w:pos="960" w:leader="none"/>
              </w:tabs>
            </w:pPr>
            <w:r>
              <w:t xml:space="preserve">где:</w:t>
            </w:r>
            <w:r/>
          </w:p>
          <w:p>
            <w:pPr>
              <w:pStyle w:val="1190"/>
              <w:tabs>
                <w:tab w:val="left" w:pos="960" w:leader="none"/>
              </w:tabs>
            </w:pPr>
            <w:r>
              <w:rPr>
                <w:b/>
                <w:u w:val="single"/>
              </w:rPr>
              <w:t xml:space="preserve">Да</w:t>
            </w:r>
            <w:r>
              <w:t xml:space="preserve">- доля автодорог, %;                            </w:t>
            </w:r>
            <w:r>
              <w:rPr>
                <w:b/>
                <w:u w:val="single"/>
              </w:rPr>
              <w:t xml:space="preserve">Пн</w:t>
            </w:r>
            <w:r>
              <w:t xml:space="preserve">- нормативная протяженность автодорог, км;                                   </w:t>
            </w:r>
            <w:r>
              <w:rPr>
                <w:b/>
                <w:u w:val="single"/>
              </w:rPr>
              <w:t xml:space="preserve">Побщ</w:t>
            </w:r>
            <w:r>
              <w:t xml:space="preserve"> – общая протяженность автодорог, км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91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t xml:space="preserve">Итоги ремонта дорог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t xml:space="preserve">ежегодно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21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Увеличение густоты автомобильных дорог, относящихся к улично-дорожной сети населенных пунктов района   с твердым покрытием на 1000 кв. км территории до 333,3 км.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1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t xml:space="preserve">км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5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rPr>
                <w:b/>
              </w:rPr>
              <w:t xml:space="preserve">Га = Пт/К</w:t>
            </w:r>
            <w:r/>
          </w:p>
          <w:p>
            <w:pPr>
              <w:pStyle w:val="1190"/>
              <w:tabs>
                <w:tab w:val="left" w:pos="960" w:leader="none"/>
              </w:tabs>
            </w:pPr>
            <w:r>
              <w:t xml:space="preserve">где:</w:t>
            </w:r>
            <w:r/>
          </w:p>
          <w:p>
            <w:pPr>
              <w:pStyle w:val="1190"/>
              <w:tabs>
                <w:tab w:val="left" w:pos="960" w:leader="none"/>
              </w:tabs>
            </w:pPr>
            <w:r>
              <w:rPr>
                <w:b/>
                <w:u w:val="single"/>
              </w:rPr>
              <w:t xml:space="preserve">Га</w:t>
            </w:r>
            <w:r>
              <w:t xml:space="preserve"> – густота автодорог, км;                    </w:t>
            </w:r>
            <w:r>
              <w:rPr>
                <w:b/>
                <w:u w:val="single"/>
              </w:rPr>
              <w:t xml:space="preserve">Пт</w:t>
            </w:r>
            <w:r>
              <w:t xml:space="preserve"> – протяженность автодорог с твердым покрытием, км;                              </w:t>
            </w:r>
            <w:r>
              <w:rPr>
                <w:b/>
                <w:u w:val="single"/>
              </w:rPr>
              <w:t xml:space="preserve">К</w:t>
            </w:r>
            <w:r>
              <w:t xml:space="preserve"> – количество тыс.кв.км. в районе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91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t xml:space="preserve">Итоги ремонта дорог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t xml:space="preserve">ежегодно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21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Увеличение общей протяженности построенных автомобильных дорог местного значения, относящихся к улично-дорожной сети населенных пунктов района и в микрорайонах массовой жилищной застройки с твердым покрытием на 18,139  км.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1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t xml:space="preserve">км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5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rPr>
                <w:b/>
              </w:rPr>
              <w:t xml:space="preserve">Пм = ΣП1м+П2м+….</w:t>
            </w:r>
            <w:r/>
          </w:p>
          <w:p>
            <w:pPr>
              <w:pStyle w:val="1190"/>
              <w:tabs>
                <w:tab w:val="left" w:pos="960" w:leader="none"/>
              </w:tabs>
            </w:pPr>
            <w:r>
              <w:t xml:space="preserve">где:</w:t>
            </w:r>
            <w:r/>
          </w:p>
          <w:p>
            <w:pPr>
              <w:pStyle w:val="1190"/>
              <w:tabs>
                <w:tab w:val="left" w:pos="960" w:leader="none"/>
              </w:tabs>
            </w:pPr>
            <w:r>
              <w:rPr>
                <w:b/>
                <w:u w:val="single"/>
              </w:rPr>
              <w:t xml:space="preserve">Пм</w:t>
            </w:r>
            <w:r>
              <w:t xml:space="preserve"> – протяженность УДС в микрорайонах ИЖС, км;                             </w:t>
            </w:r>
            <w:r>
              <w:rPr>
                <w:b/>
                <w:u w:val="single"/>
              </w:rPr>
              <w:t xml:space="preserve">П1м, П2м</w:t>
            </w:r>
            <w:r>
              <w:t xml:space="preserve">, … - протяженность УДС в отдельных микрорайонах ИЖС, км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91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t xml:space="preserve">Итоги строительства дорог в микрорайонах ИЖС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t xml:space="preserve">ежегодно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21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</w:pPr>
            <w:r>
              <w:t xml:space="preserve">Увеличение общей протяженности отремонтированных дорог местного значения, относящихся к улично-дорожной сети населенных пунктов района на 70 км.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1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t xml:space="preserve">км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5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rPr>
                <w:b/>
              </w:rPr>
              <w:t xml:space="preserve">Пр = ΣП1р+П2р+….</w:t>
            </w:r>
            <w:r/>
          </w:p>
          <w:p>
            <w:pPr>
              <w:pStyle w:val="1190"/>
              <w:tabs>
                <w:tab w:val="left" w:pos="960" w:leader="none"/>
              </w:tabs>
            </w:pPr>
            <w:r>
              <w:t xml:space="preserve">где:</w:t>
            </w:r>
            <w:r/>
          </w:p>
          <w:p>
            <w:pPr>
              <w:pStyle w:val="1190"/>
              <w:tabs>
                <w:tab w:val="left" w:pos="960" w:leader="none"/>
              </w:tabs>
            </w:pPr>
            <w:r>
              <w:rPr>
                <w:b/>
                <w:u w:val="single"/>
              </w:rPr>
              <w:t xml:space="preserve">Пр</w:t>
            </w:r>
            <w:r>
              <w:t xml:space="preserve"> – протяженность отремонтированных дорог, км;          </w:t>
            </w:r>
            <w:r>
              <w:rPr>
                <w:b/>
                <w:u w:val="single"/>
              </w:rPr>
              <w:t xml:space="preserve">П1р, П2р</w:t>
            </w:r>
            <w:r>
              <w:t xml:space="preserve"> – протяженность ремонта каждой дороги, км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91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t xml:space="preserve">Итоги ремонта дорог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t xml:space="preserve">ежегодно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21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rPr>
                <w:b/>
              </w:rPr>
              <w:t xml:space="preserve">Подпрограмма 2 «Совершенствование и развитие транспортной системы Чернянского района»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1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5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91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t xml:space="preserve">-</w:t>
            </w:r>
            <w:r/>
          </w:p>
        </w:tc>
      </w:tr>
      <w:tr>
        <w:trPr>
          <w:trHeight w:val="184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21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t xml:space="preserve">Рост пассажирооборота транспортом                   общего пользования до 11,8 млн. пасс.-км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1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rPr>
                <w:color w:val="000000"/>
              </w:rPr>
              <w:t xml:space="preserve">пасс.км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50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rPr>
                <w:b/>
              </w:rPr>
              <w:t xml:space="preserve">ПОф = </w:t>
            </w:r>
            <w:r>
              <w:rPr>
                <w:b/>
                <w:lang w:val="en-US"/>
              </w:rPr>
              <w:t xml:space="preserve">N</w:t>
            </w:r>
            <w:r>
              <w:rPr>
                <w:b/>
              </w:rPr>
              <w:t xml:space="preserve">пасс*</w:t>
            </w:r>
            <w:r>
              <w:rPr>
                <w:b/>
                <w:lang w:val="en-US"/>
              </w:rPr>
              <w:t xml:space="preserve">L</w:t>
            </w:r>
            <w:r/>
          </w:p>
          <w:p>
            <w:pPr>
              <w:pStyle w:val="1190"/>
              <w:tabs>
                <w:tab w:val="left" w:pos="960" w:leader="none"/>
              </w:tabs>
            </w:pPr>
            <w:r>
              <w:t xml:space="preserve">где:</w:t>
            </w:r>
            <w:r/>
          </w:p>
          <w:p>
            <w:pPr>
              <w:pStyle w:val="1190"/>
              <w:tabs>
                <w:tab w:val="left" w:pos="960" w:leader="none"/>
              </w:tabs>
            </w:pPr>
            <w:r>
              <w:rPr>
                <w:b/>
                <w:u w:val="single"/>
              </w:rPr>
              <w:t xml:space="preserve">ПОф</w:t>
            </w:r>
            <w:r>
              <w:t xml:space="preserve"> – пассажирооборот фактический, пасс.км;                                </w:t>
            </w:r>
            <w:r>
              <w:rPr>
                <w:b/>
                <w:u w:val="single"/>
                <w:lang w:val="en-US"/>
              </w:rPr>
              <w:t xml:space="preserve">N</w:t>
            </w:r>
            <w:r>
              <w:rPr>
                <w:b/>
                <w:u w:val="single"/>
              </w:rPr>
              <w:t xml:space="preserve">пасс</w:t>
            </w:r>
            <w:r>
              <w:t xml:space="preserve"> – количество перевезенных пассажиров, человек;                                        </w:t>
            </w:r>
            <w:r>
              <w:rPr>
                <w:b/>
                <w:u w:val="single"/>
                <w:lang w:val="en-US"/>
              </w:rPr>
              <w:t xml:space="preserve">L</w:t>
            </w:r>
            <w:r>
              <w:t xml:space="preserve">- протяженность пути, км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91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t xml:space="preserve">Итоговая информация транспортного предприятия, осуществляющего пассажирские перевозки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1190"/>
              <w:jc w:val="center"/>
              <w:tabs>
                <w:tab w:val="left" w:pos="960" w:leader="none"/>
              </w:tabs>
            </w:pPr>
            <w:r>
              <w:t xml:space="preserve">ежегодно</w:t>
            </w:r>
            <w:r/>
          </w:p>
        </w:tc>
      </w:tr>
    </w:tbl>
    <w:p>
      <w:r/>
      <w:r/>
    </w:p>
    <w:sectPr>
      <w:headerReference w:type="default" r:id="rId20"/>
      <w:headerReference w:type="even" r:id="rId21"/>
      <w:headerReference w:type="first" r:id="rId22"/>
      <w:footerReference w:type="default" r:id="rId31"/>
      <w:footerReference w:type="even" r:id="rId32"/>
      <w:footerReference w:type="first" r:id="rId33"/>
      <w:footnotePr>
        <w:numFmt w:val="decimal"/>
        <w:numRestart w:val="continuous"/>
      </w:footnotePr>
      <w:endnotePr>
        <w:numFmt w:val="lowerRoman"/>
      </w:endnotePr>
      <w:type w:val="nextPage"/>
      <w:pgSz w:w="16838" w:h="11906" w:orient="landscape"/>
      <w:pgMar w:top="1276" w:right="539" w:bottom="567" w:left="357" w:header="510" w:footer="51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Verdana">
    <w:panose1 w:val="020B0604030504040204"/>
  </w:font>
  <w:font w:name="Calibri">
    <w:panose1 w:val="020F0502020204030204"/>
  </w:font>
  <w:font w:name="PMingLiU">
    <w:panose1 w:val="02020502040504020204"/>
  </w:font>
  <w:font w:name="Tahoma">
    <w:panose1 w:val="020B0604030504040204"/>
  </w:font>
  <w:font w:name="Book Antiqua">
    <w:panose1 w:val="02040502050405020303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90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8241" behindDoc="0" locked="0" layoutInCell="1" allowOverlap="1">
              <wp:simplePos x="0" y="0"/>
              <wp:positionH relativeFrom="page">
                <wp:posOffset>10170160</wp:posOffset>
              </wp:positionH>
              <wp:positionV relativeFrom="paragraph">
                <wp:posOffset>635</wp:posOffset>
              </wp:positionV>
              <wp:extent cx="25400" cy="168910"/>
              <wp:effectExtent l="0" t="0" r="0" b="0"/>
              <wp:wrapSquare wrapText="bothSides"/>
              <wp:docPr id="2" name="_x0000_s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5400" cy="16891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236"/>
                          </w:pPr>
                          <w:r/>
                          <w:r/>
                        </w:p>
                        <w:p>
                          <w:pPr>
                            <w:pStyle w:val="1190"/>
                          </w:pPr>
                          <w:r/>
                          <w:r/>
                        </w:p>
                      </w:txbxContent>
                    </wps:txbx>
                    <wps:bodyPr wrap="square" lIns="5715" tIns="5715" rIns="5715" bIns="5715" upright="1"/>
                  </wps:wsp>
                </a:graphicData>
              </a:graphic>
            </wp:anchor>
          </w:drawing>
        </mc:Choice>
        <mc:Fallback>
          <w:pict>
            <v:shape id="shape 1" o:spid="_x0000_s1" o:spt="202" type="#_x0000_t202" style="position:absolute;z-index:251658241;o:allowoverlap:true;o:allowincell:true;mso-position-horizontal-relative:page;margin-left:800.8pt;mso-position-horizontal:absolute;mso-position-vertical-relative:text;margin-top:0.0pt;mso-position-vertical:absolute;width:2.0pt;height:13.3pt;mso-wrap-distance-left:0.0pt;mso-wrap-distance-top:0.0pt;mso-wrap-distance-right:0.0pt;mso-wrap-distance-bottom:0.0pt;visibility:visible;" fillcolor="#FFFFFF" stroked="f">
              <v:fill opacity="100f"/>
              <w10:wrap type="square"/>
              <v:textbox inset="0,0,0,0">
                <w:txbxContent>
                  <w:p>
                    <w:pPr>
                      <w:pStyle w:val="1236"/>
                    </w:pPr>
                    <w:r/>
                    <w:r/>
                  </w:p>
                  <w:p>
                    <w:pPr>
                      <w:pStyle w:val="1190"/>
                    </w:pPr>
                    <w:r/>
                    <w:r/>
                  </w:p>
                </w:txbxContent>
              </v:textbox>
            </v:shape>
          </w:pict>
        </mc:Fallback>
      </mc:AlternateContent>
    </w:r>
    <w:r/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90"/>
    </w:pPr>
    <w:r/>
    <w:r/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36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36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90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8243" behindDoc="0" locked="0" layoutInCell="1" allowOverlap="1">
              <wp:simplePos x="0" y="0"/>
              <wp:positionH relativeFrom="page">
                <wp:posOffset>7019925</wp:posOffset>
              </wp:positionH>
              <wp:positionV relativeFrom="paragraph">
                <wp:posOffset>635</wp:posOffset>
              </wp:positionV>
              <wp:extent cx="25400" cy="168910"/>
              <wp:effectExtent l="0" t="0" r="0" b="0"/>
              <wp:wrapSquare wrapText="bothSides"/>
              <wp:docPr id="3" name="_x0000_s10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5400" cy="16891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236"/>
                          </w:pPr>
                          <w:r/>
                          <w:r/>
                        </w:p>
                        <w:p>
                          <w:pPr>
                            <w:pStyle w:val="1190"/>
                          </w:pPr>
                          <w:r/>
                          <w:r/>
                        </w:p>
                      </w:txbxContent>
                    </wps:txbx>
                    <wps:bodyPr wrap="square" lIns="5715" tIns="5715" rIns="5715" bIns="5715" upright="1"/>
                  </wps:wsp>
                </a:graphicData>
              </a:graphic>
            </wp:anchor>
          </w:drawing>
        </mc:Choice>
        <mc:Fallback>
          <w:pict>
            <v:shape id="shape 2" o:spid="_x0000_s2" o:spt="202" type="#_x0000_t202" style="position:absolute;z-index:251658243;o:allowoverlap:true;o:allowincell:true;mso-position-horizontal-relative:page;margin-left:552.8pt;mso-position-horizontal:absolute;mso-position-vertical-relative:text;margin-top:0.0pt;mso-position-vertical:absolute;width:2.0pt;height:13.3pt;mso-wrap-distance-left:0.0pt;mso-wrap-distance-top:0.0pt;mso-wrap-distance-right:0.0pt;mso-wrap-distance-bottom:0.0pt;visibility:visible;" fillcolor="#FFFFFF" stroked="f">
              <v:fill opacity="100f"/>
              <w10:wrap type="square"/>
              <v:textbox inset="0,0,0,0">
                <w:txbxContent>
                  <w:p>
                    <w:pPr>
                      <w:pStyle w:val="1236"/>
                    </w:pPr>
                    <w:r/>
                    <w:r/>
                  </w:p>
                  <w:p>
                    <w:pPr>
                      <w:pStyle w:val="1190"/>
                    </w:pPr>
                    <w:r/>
                    <w:r/>
                  </w:p>
                </w:txbxContent>
              </v:textbox>
            </v:shape>
          </w:pict>
        </mc:Fallback>
      </mc:AlternateContent>
    </w:r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90"/>
    </w:pPr>
    <w:r/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90"/>
    </w:pPr>
    <w:r/>
    <w:r/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90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8242" behindDoc="0" locked="0" layoutInCell="1" allowOverlap="1">
              <wp:simplePos x="0" y="0"/>
              <wp:positionH relativeFrom="page">
                <wp:posOffset>10332085</wp:posOffset>
              </wp:positionH>
              <wp:positionV relativeFrom="paragraph">
                <wp:posOffset>635</wp:posOffset>
              </wp:positionV>
              <wp:extent cx="25400" cy="168910"/>
              <wp:effectExtent l="0" t="0" r="0" b="0"/>
              <wp:wrapSquare wrapText="bothSides"/>
              <wp:docPr id="4" name="_x0000_s10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5400" cy="16891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236"/>
                          </w:pPr>
                          <w:r/>
                          <w:r/>
                        </w:p>
                        <w:p>
                          <w:pPr>
                            <w:pStyle w:val="1190"/>
                          </w:pPr>
                          <w:r/>
                          <w:r/>
                        </w:p>
                      </w:txbxContent>
                    </wps:txbx>
                    <wps:bodyPr wrap="square" lIns="5715" tIns="5715" rIns="5715" bIns="5715" upright="1"/>
                  </wps:wsp>
                </a:graphicData>
              </a:graphic>
            </wp:anchor>
          </w:drawing>
        </mc:Choice>
        <mc:Fallback>
          <w:pict>
            <v:shape id="shape 3" o:spid="_x0000_s3" o:spt="202" type="#_x0000_t202" style="position:absolute;z-index:251658242;o:allowoverlap:true;o:allowincell:true;mso-position-horizontal-relative:page;margin-left:813.5pt;mso-position-horizontal:absolute;mso-position-vertical-relative:text;margin-top:0.0pt;mso-position-vertical:absolute;width:2.0pt;height:13.3pt;mso-wrap-distance-left:0.0pt;mso-wrap-distance-top:0.0pt;mso-wrap-distance-right:0.0pt;mso-wrap-distance-bottom:0.0pt;visibility:visible;" fillcolor="#FFFFFF" stroked="f">
              <v:fill opacity="100f"/>
              <w10:wrap type="square"/>
              <v:textbox inset="0,0,0,0">
                <w:txbxContent>
                  <w:p>
                    <w:pPr>
                      <w:pStyle w:val="1236"/>
                    </w:pPr>
                    <w:r/>
                    <w:r/>
                  </w:p>
                  <w:p>
                    <w:pPr>
                      <w:pStyle w:val="1190"/>
                    </w:pPr>
                    <w:r/>
                    <w:r/>
                  </w:p>
                </w:txbxContent>
              </v:textbox>
            </v:shape>
          </w:pict>
        </mc:Fallback>
      </mc:AlternateContent>
    </w:r>
    <w:r/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90"/>
    </w:pPr>
    <w:r/>
    <w:r/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90"/>
    </w:pPr>
    <w:r/>
    <w:r/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90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8244" behindDoc="0" locked="0" layoutInCell="1" allowOverlap="1">
              <wp:simplePos x="0" y="0"/>
              <wp:positionH relativeFrom="page">
                <wp:posOffset>10349865</wp:posOffset>
              </wp:positionH>
              <wp:positionV relativeFrom="paragraph">
                <wp:posOffset>635</wp:posOffset>
              </wp:positionV>
              <wp:extent cx="25400" cy="168910"/>
              <wp:effectExtent l="0" t="0" r="0" b="0"/>
              <wp:wrapSquare wrapText="bothSides"/>
              <wp:docPr id="5" name="_x0000_s10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5400" cy="16891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236"/>
                          </w:pPr>
                          <w:r/>
                          <w:r/>
                        </w:p>
                        <w:p>
                          <w:pPr>
                            <w:pStyle w:val="1190"/>
                          </w:pPr>
                          <w:r/>
                          <w:r/>
                        </w:p>
                      </w:txbxContent>
                    </wps:txbx>
                    <wps:bodyPr wrap="square" lIns="5715" tIns="5715" rIns="5715" bIns="5715" upright="1"/>
                  </wps:wsp>
                </a:graphicData>
              </a:graphic>
            </wp:anchor>
          </w:drawing>
        </mc:Choice>
        <mc:Fallback>
          <w:pict>
            <v:shape id="shape 4" o:spid="_x0000_s4" o:spt="202" type="#_x0000_t202" style="position:absolute;z-index:251658244;o:allowoverlap:true;o:allowincell:true;mso-position-horizontal-relative:page;margin-left:814.9pt;mso-position-horizontal:absolute;mso-position-vertical-relative:text;margin-top:0.0pt;mso-position-vertical:absolute;width:2.0pt;height:13.3pt;mso-wrap-distance-left:0.0pt;mso-wrap-distance-top:0.0pt;mso-wrap-distance-right:0.0pt;mso-wrap-distance-bottom:0.0pt;visibility:visible;" fillcolor="#FFFFFF" stroked="f">
              <v:fill opacity="100f"/>
              <w10:wrap type="square"/>
              <v:textbox inset="0,0,0,0">
                <w:txbxContent>
                  <w:p>
                    <w:pPr>
                      <w:pStyle w:val="1236"/>
                    </w:pPr>
                    <w:r/>
                    <w:r/>
                  </w:p>
                  <w:p>
                    <w:pPr>
                      <w:pStyle w:val="1190"/>
                    </w:pPr>
                    <w:r/>
                    <w:r/>
                  </w:p>
                </w:txbxContent>
              </v:textbox>
            </v:shape>
          </w:pict>
        </mc:Fallback>
      </mc:AlternateConten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33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524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25400" cy="168910"/>
              <wp:effectExtent l="0" t="0" r="0" b="0"/>
              <wp:wrapSquare wrapText="bothSides"/>
              <wp:docPr id="1" name="_x0000_s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5400" cy="16891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233"/>
                          </w:pPr>
                          <w:r/>
                          <w:r/>
                        </w:p>
                        <w:p>
                          <w:pPr>
                            <w:pStyle w:val="1190"/>
                          </w:pPr>
                          <w:r/>
                          <w:r/>
                        </w:p>
                      </w:txbxContent>
                    </wps:txbx>
                    <wps:bodyPr wrap="square" lIns="5715" tIns="5715" rIns="5715" bIns="5715" upright="1"/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524288;o:allowoverlap:true;o:allowincell:true;mso-position-horizontal-relative:margin;mso-position-horizontal:center;mso-position-vertical-relative:text;margin-top:0.0pt;mso-position-vertical:absolute;width:2.0pt;height:13.3pt;mso-wrap-distance-left:0.0pt;mso-wrap-distance-top:0.0pt;mso-wrap-distance-right:0.0pt;mso-wrap-distance-bottom:0.0pt;visibility:visible;" fillcolor="#FFFFFF" stroked="f">
              <v:fill opacity="100f"/>
              <w10:wrap type="square"/>
              <v:textbox inset="0,0,0,0">
                <w:txbxContent>
                  <w:p>
                    <w:pPr>
                      <w:pStyle w:val="1233"/>
                    </w:pPr>
                    <w:r/>
                    <w:r/>
                  </w:p>
                  <w:p>
                    <w:pPr>
                      <w:pStyle w:val="1190"/>
                    </w:pPr>
                    <w:r/>
                    <w:r/>
                  </w:p>
                </w:txbxContent>
              </v:textbox>
            </v:shape>
          </w:pict>
        </mc:Fallback>
      </mc:AlternateContent>
    </w:r>
    <w:r/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90"/>
    </w:pPr>
    <w:r/>
    <w:r/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90"/>
    </w:pPr>
    <w:r/>
    <w:r/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33"/>
    </w:pPr>
    <w:r/>
    <w:r/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90"/>
    </w:pPr>
    <w:r/>
    <w:r/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33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33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33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90"/>
    </w:pPr>
    <w:r/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33"/>
    </w:pPr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33"/>
    </w:pPr>
    <w:r/>
    <w:r/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90"/>
    </w:pPr>
    <w:r/>
    <w:r/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90"/>
    </w:pPr>
    <w:r/>
    <w:r/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3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1191"/>
      <w:isLgl w:val="false"/>
      <w:suff w:val="nothing"/>
      <w:lvlText w:val="%1"/>
      <w:lvlJc w:val="left"/>
      <w:pPr>
        <w:pStyle w:val="1190"/>
        <w:ind w:left="0" w:firstLine="0"/>
        <w:tabs>
          <w:tab w:val="num" w:pos="0" w:leader="none"/>
        </w:tabs>
      </w:pPr>
    </w:lvl>
    <w:lvl w:ilvl="1">
      <w:start w:val="1"/>
      <w:numFmt w:val="decimal"/>
      <w:pStyle w:val="1192"/>
      <w:isLgl w:val="false"/>
      <w:suff w:val="nothing"/>
      <w:lvlText w:val="%2"/>
      <w:lvlJc w:val="left"/>
      <w:pPr>
        <w:pStyle w:val="1190"/>
        <w:ind w:left="0" w:firstLine="0"/>
        <w:tabs>
          <w:tab w:val="num" w:pos="0" w:leader="none"/>
        </w:tabs>
      </w:pPr>
    </w:lvl>
    <w:lvl w:ilvl="2">
      <w:start w:val="1"/>
      <w:numFmt w:val="decimal"/>
      <w:pStyle w:val="1193"/>
      <w:isLgl w:val="false"/>
      <w:suff w:val="nothing"/>
      <w:lvlText w:val="%3"/>
      <w:lvlJc w:val="left"/>
      <w:pPr>
        <w:pStyle w:val="1190"/>
        <w:ind w:left="0" w:firstLine="0"/>
        <w:tabs>
          <w:tab w:val="num" w:pos="0" w:leader="none"/>
        </w:tabs>
      </w:pPr>
    </w:lvl>
    <w:lvl w:ilvl="3">
      <w:start w:val="1"/>
      <w:numFmt w:val="decimal"/>
      <w:pStyle w:val="1194"/>
      <w:isLgl w:val="false"/>
      <w:suff w:val="nothing"/>
      <w:lvlText w:val="%4"/>
      <w:lvlJc w:val="left"/>
      <w:pPr>
        <w:pStyle w:val="1190"/>
        <w:ind w:left="0" w:firstLine="0"/>
        <w:tabs>
          <w:tab w:val="num" w:pos="0" w:leader="none"/>
        </w:tabs>
      </w:pPr>
    </w:lvl>
    <w:lvl w:ilvl="4">
      <w:start w:val="1"/>
      <w:numFmt w:val="decimal"/>
      <w:pStyle w:val="1195"/>
      <w:isLgl w:val="false"/>
      <w:suff w:val="nothing"/>
      <w:lvlText w:val="%5"/>
      <w:lvlJc w:val="left"/>
      <w:pPr>
        <w:pStyle w:val="1190"/>
        <w:ind w:left="0" w:firstLine="0"/>
        <w:tabs>
          <w:tab w:val="num" w:pos="0" w:leader="none"/>
        </w:tabs>
      </w:pPr>
    </w:lvl>
    <w:lvl w:ilvl="5">
      <w:start w:val="1"/>
      <w:numFmt w:val="decimal"/>
      <w:pStyle w:val="1196"/>
      <w:isLgl w:val="false"/>
      <w:suff w:val="nothing"/>
      <w:lvlText w:val="%6"/>
      <w:lvlJc w:val="left"/>
      <w:pPr>
        <w:pStyle w:val="1190"/>
        <w:ind w:left="0" w:firstLine="0"/>
        <w:tabs>
          <w:tab w:val="num" w:pos="0" w:leader="none"/>
        </w:tabs>
      </w:pPr>
    </w:lvl>
    <w:lvl w:ilvl="6">
      <w:start w:val="1"/>
      <w:numFmt w:val="decimal"/>
      <w:isLgl w:val="false"/>
      <w:suff w:val="nothing"/>
      <w:lvlText w:val="%7"/>
      <w:lvlJc w:val="left"/>
      <w:pPr>
        <w:pStyle w:val="1190"/>
        <w:ind w:left="0" w:firstLine="0"/>
        <w:tabs>
          <w:tab w:val="num" w:pos="0" w:leader="none"/>
        </w:tabs>
      </w:pPr>
    </w:lvl>
    <w:lvl w:ilvl="7">
      <w:start w:val="1"/>
      <w:numFmt w:val="decimal"/>
      <w:isLgl w:val="false"/>
      <w:suff w:val="nothing"/>
      <w:lvlText w:val="%8"/>
      <w:lvlJc w:val="left"/>
      <w:pPr>
        <w:pStyle w:val="1190"/>
        <w:ind w:left="0" w:firstLine="0"/>
        <w:tabs>
          <w:tab w:val="num" w:pos="0" w:leader="none"/>
        </w:tabs>
      </w:pPr>
    </w:lvl>
    <w:lvl w:ilvl="8">
      <w:start w:val="1"/>
      <w:numFmt w:val="decimal"/>
      <w:isLgl w:val="false"/>
      <w:suff w:val="nothing"/>
      <w:lvlText w:val="%9"/>
      <w:lvlJc w:val="left"/>
      <w:pPr>
        <w:pStyle w:val="1190"/>
        <w:ind w:left="0" w:firstLine="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1190"/>
        <w:ind w:left="1470" w:hanging="93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1190"/>
        <w:ind w:left="1429" w:hanging="72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1190"/>
        <w:ind w:left="1598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1190"/>
        <w:ind w:left="2127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1190"/>
        <w:ind w:left="2296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1190"/>
        <w:ind w:left="2825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1190"/>
        <w:ind w:left="3354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1190"/>
        <w:ind w:left="3523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1190"/>
        <w:ind w:left="4052" w:hanging="216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1190"/>
        <w:ind w:left="1470" w:hanging="93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1190"/>
        <w:ind w:left="1429" w:hanging="72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1190"/>
        <w:ind w:left="1598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1190"/>
        <w:ind w:left="2127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1190"/>
        <w:ind w:left="2296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1190"/>
        <w:ind w:left="2825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1190"/>
        <w:ind w:left="3354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1190"/>
        <w:ind w:left="3523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1190"/>
        <w:ind w:left="4052" w:hanging="2160"/>
        <w:tabs>
          <w:tab w:val="num" w:pos="0" w:leader="none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012">
    <w:name w:val="Heading 1"/>
    <w:basedOn w:val="1190"/>
    <w:next w:val="1190"/>
    <w:link w:val="101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013">
    <w:name w:val="Heading 1 Char"/>
    <w:link w:val="1012"/>
    <w:uiPriority w:val="9"/>
    <w:rPr>
      <w:rFonts w:ascii="Arial" w:hAnsi="Arial" w:eastAsia="Arial" w:cs="Arial"/>
      <w:sz w:val="40"/>
      <w:szCs w:val="40"/>
    </w:rPr>
  </w:style>
  <w:style w:type="paragraph" w:styleId="1014">
    <w:name w:val="Heading 2"/>
    <w:basedOn w:val="1190"/>
    <w:next w:val="1190"/>
    <w:link w:val="101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015">
    <w:name w:val="Heading 2 Char"/>
    <w:link w:val="1014"/>
    <w:uiPriority w:val="9"/>
    <w:rPr>
      <w:rFonts w:ascii="Arial" w:hAnsi="Arial" w:eastAsia="Arial" w:cs="Arial"/>
      <w:sz w:val="34"/>
    </w:rPr>
  </w:style>
  <w:style w:type="paragraph" w:styleId="1016">
    <w:name w:val="Heading 3"/>
    <w:basedOn w:val="1190"/>
    <w:next w:val="1190"/>
    <w:link w:val="10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017">
    <w:name w:val="Heading 3 Char"/>
    <w:link w:val="1016"/>
    <w:uiPriority w:val="9"/>
    <w:rPr>
      <w:rFonts w:ascii="Arial" w:hAnsi="Arial" w:eastAsia="Arial" w:cs="Arial"/>
      <w:sz w:val="30"/>
      <w:szCs w:val="30"/>
    </w:rPr>
  </w:style>
  <w:style w:type="paragraph" w:styleId="1018">
    <w:name w:val="Heading 4"/>
    <w:basedOn w:val="1190"/>
    <w:next w:val="1190"/>
    <w:link w:val="10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019">
    <w:name w:val="Heading 4 Char"/>
    <w:link w:val="1018"/>
    <w:uiPriority w:val="9"/>
    <w:rPr>
      <w:rFonts w:ascii="Arial" w:hAnsi="Arial" w:eastAsia="Arial" w:cs="Arial"/>
      <w:b/>
      <w:bCs/>
      <w:sz w:val="26"/>
      <w:szCs w:val="26"/>
    </w:rPr>
  </w:style>
  <w:style w:type="paragraph" w:styleId="1020">
    <w:name w:val="Heading 5"/>
    <w:basedOn w:val="1190"/>
    <w:next w:val="1190"/>
    <w:link w:val="10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1021">
    <w:name w:val="Heading 5 Char"/>
    <w:link w:val="1020"/>
    <w:uiPriority w:val="9"/>
    <w:rPr>
      <w:rFonts w:ascii="Arial" w:hAnsi="Arial" w:eastAsia="Arial" w:cs="Arial"/>
      <w:b/>
      <w:bCs/>
      <w:sz w:val="24"/>
      <w:szCs w:val="24"/>
    </w:rPr>
  </w:style>
  <w:style w:type="paragraph" w:styleId="1022">
    <w:name w:val="Heading 6"/>
    <w:basedOn w:val="1190"/>
    <w:next w:val="1190"/>
    <w:link w:val="10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1023">
    <w:name w:val="Heading 6 Char"/>
    <w:link w:val="1022"/>
    <w:uiPriority w:val="9"/>
    <w:rPr>
      <w:rFonts w:ascii="Arial" w:hAnsi="Arial" w:eastAsia="Arial" w:cs="Arial"/>
      <w:b/>
      <w:bCs/>
      <w:sz w:val="22"/>
      <w:szCs w:val="22"/>
    </w:rPr>
  </w:style>
  <w:style w:type="paragraph" w:styleId="1024">
    <w:name w:val="Heading 7"/>
    <w:basedOn w:val="1190"/>
    <w:next w:val="1190"/>
    <w:link w:val="10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1025">
    <w:name w:val="Heading 7 Char"/>
    <w:link w:val="10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1026">
    <w:name w:val="Heading 8"/>
    <w:basedOn w:val="1190"/>
    <w:next w:val="1190"/>
    <w:link w:val="10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1027">
    <w:name w:val="Heading 8 Char"/>
    <w:link w:val="1026"/>
    <w:uiPriority w:val="9"/>
    <w:rPr>
      <w:rFonts w:ascii="Arial" w:hAnsi="Arial" w:eastAsia="Arial" w:cs="Arial"/>
      <w:i/>
      <w:iCs/>
      <w:sz w:val="22"/>
      <w:szCs w:val="22"/>
    </w:rPr>
  </w:style>
  <w:style w:type="paragraph" w:styleId="1028">
    <w:name w:val="Heading 9"/>
    <w:basedOn w:val="1190"/>
    <w:next w:val="1190"/>
    <w:link w:val="10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1029">
    <w:name w:val="Heading 9 Char"/>
    <w:link w:val="1028"/>
    <w:uiPriority w:val="9"/>
    <w:rPr>
      <w:rFonts w:ascii="Arial" w:hAnsi="Arial" w:eastAsia="Arial" w:cs="Arial"/>
      <w:i/>
      <w:iCs/>
      <w:sz w:val="21"/>
      <w:szCs w:val="21"/>
    </w:rPr>
  </w:style>
  <w:style w:type="paragraph" w:styleId="1030">
    <w:name w:val="No Spacing"/>
    <w:uiPriority w:val="1"/>
    <w:qFormat/>
    <w:pPr>
      <w:spacing w:before="0" w:after="0" w:line="240" w:lineRule="auto"/>
    </w:pPr>
  </w:style>
  <w:style w:type="paragraph" w:styleId="1031">
    <w:name w:val="Title"/>
    <w:basedOn w:val="1190"/>
    <w:next w:val="1190"/>
    <w:link w:val="103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1032">
    <w:name w:val="Title Char"/>
    <w:link w:val="1031"/>
    <w:uiPriority w:val="10"/>
    <w:rPr>
      <w:sz w:val="48"/>
      <w:szCs w:val="48"/>
    </w:rPr>
  </w:style>
  <w:style w:type="paragraph" w:styleId="1033">
    <w:name w:val="Subtitle"/>
    <w:basedOn w:val="1190"/>
    <w:next w:val="1190"/>
    <w:link w:val="1034"/>
    <w:uiPriority w:val="11"/>
    <w:qFormat/>
    <w:pPr>
      <w:spacing w:before="200" w:after="200"/>
    </w:pPr>
    <w:rPr>
      <w:sz w:val="24"/>
      <w:szCs w:val="24"/>
    </w:rPr>
  </w:style>
  <w:style w:type="character" w:styleId="1034">
    <w:name w:val="Subtitle Char"/>
    <w:link w:val="1033"/>
    <w:uiPriority w:val="11"/>
    <w:rPr>
      <w:sz w:val="24"/>
      <w:szCs w:val="24"/>
    </w:rPr>
  </w:style>
  <w:style w:type="paragraph" w:styleId="1035">
    <w:name w:val="Quote"/>
    <w:basedOn w:val="1190"/>
    <w:next w:val="1190"/>
    <w:link w:val="1036"/>
    <w:uiPriority w:val="29"/>
    <w:qFormat/>
    <w:pPr>
      <w:ind w:left="720" w:right="720"/>
    </w:pPr>
    <w:rPr>
      <w:i/>
    </w:rPr>
  </w:style>
  <w:style w:type="character" w:styleId="1036">
    <w:name w:val="Quote Char"/>
    <w:link w:val="1035"/>
    <w:uiPriority w:val="29"/>
    <w:rPr>
      <w:i/>
    </w:rPr>
  </w:style>
  <w:style w:type="paragraph" w:styleId="1037">
    <w:name w:val="Intense Quote"/>
    <w:basedOn w:val="1190"/>
    <w:next w:val="1190"/>
    <w:link w:val="103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038">
    <w:name w:val="Intense Quote Char"/>
    <w:link w:val="1037"/>
    <w:uiPriority w:val="30"/>
    <w:rPr>
      <w:i/>
    </w:rPr>
  </w:style>
  <w:style w:type="paragraph" w:styleId="1039">
    <w:name w:val="Header"/>
    <w:basedOn w:val="1190"/>
    <w:link w:val="104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040">
    <w:name w:val="Header Char"/>
    <w:link w:val="1039"/>
    <w:uiPriority w:val="99"/>
  </w:style>
  <w:style w:type="paragraph" w:styleId="1041">
    <w:name w:val="Footer"/>
    <w:basedOn w:val="1190"/>
    <w:link w:val="10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042">
    <w:name w:val="Footer Char"/>
    <w:link w:val="1041"/>
    <w:uiPriority w:val="99"/>
  </w:style>
  <w:style w:type="paragraph" w:styleId="1043">
    <w:name w:val="Caption"/>
    <w:basedOn w:val="1190"/>
    <w:next w:val="119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044">
    <w:name w:val="Caption Char"/>
    <w:basedOn w:val="1043"/>
    <w:link w:val="1041"/>
    <w:uiPriority w:val="99"/>
  </w:style>
  <w:style w:type="table" w:styleId="1045">
    <w:name w:val="Table Grid"/>
    <w:basedOn w:val="118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46">
    <w:name w:val="Table Grid Light"/>
    <w:basedOn w:val="118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47">
    <w:name w:val="Plain Table 1"/>
    <w:basedOn w:val="118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48">
    <w:name w:val="Plain Table 2"/>
    <w:basedOn w:val="118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49">
    <w:name w:val="Plain Table 3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50">
    <w:name w:val="Plain Table 4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1">
    <w:name w:val="Plain Table 5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52">
    <w:name w:val="Grid Table 1 Light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3">
    <w:name w:val="Grid Table 1 Light - Accent 1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4">
    <w:name w:val="Grid Table 1 Light - Accent 2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5">
    <w:name w:val="Grid Table 1 Light - Accent 3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6">
    <w:name w:val="Grid Table 1 Light - Accent 4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7">
    <w:name w:val="Grid Table 1 Light - Accent 5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8">
    <w:name w:val="Grid Table 1 Light - Accent 6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9">
    <w:name w:val="Grid Table 2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0">
    <w:name w:val="Grid Table 2 - Accent 1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1">
    <w:name w:val="Grid Table 2 - Accent 2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2">
    <w:name w:val="Grid Table 2 - Accent 3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3">
    <w:name w:val="Grid Table 2 - Accent 4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4">
    <w:name w:val="Grid Table 2 - Accent 5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5">
    <w:name w:val="Grid Table 2 - Accent 6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6">
    <w:name w:val="Grid Table 3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7">
    <w:name w:val="Grid Table 3 - Accent 1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8">
    <w:name w:val="Grid Table 3 - Accent 2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9">
    <w:name w:val="Grid Table 3 - Accent 3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0">
    <w:name w:val="Grid Table 3 - Accent 4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1">
    <w:name w:val="Grid Table 3 - Accent 5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2">
    <w:name w:val="Grid Table 3 - Accent 6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3">
    <w:name w:val="Grid Table 4"/>
    <w:basedOn w:val="11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74">
    <w:name w:val="Grid Table 4 - Accent 1"/>
    <w:basedOn w:val="11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075">
    <w:name w:val="Grid Table 4 - Accent 2"/>
    <w:basedOn w:val="11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076">
    <w:name w:val="Grid Table 4 - Accent 3"/>
    <w:basedOn w:val="11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077">
    <w:name w:val="Grid Table 4 - Accent 4"/>
    <w:basedOn w:val="11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078">
    <w:name w:val="Grid Table 4 - Accent 5"/>
    <w:basedOn w:val="11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079">
    <w:name w:val="Grid Table 4 - Accent 6"/>
    <w:basedOn w:val="11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080">
    <w:name w:val="Grid Table 5 Dark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081">
    <w:name w:val="Grid Table 5 Dark- Accent 1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1082">
    <w:name w:val="Grid Table 5 Dark - Accent 2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1083">
    <w:name w:val="Grid Table 5 Dark - Accent 3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1084">
    <w:name w:val="Grid Table 5 Dark- Accent 4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1085">
    <w:name w:val="Grid Table 5 Dark - Accent 5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1086">
    <w:name w:val="Grid Table 5 Dark - Accent 6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1087">
    <w:name w:val="Grid Table 6 Colorful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88">
    <w:name w:val="Grid Table 6 Colorful - Accent 1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89">
    <w:name w:val="Grid Table 6 Colorful - Accent 2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90">
    <w:name w:val="Grid Table 6 Colorful - Accent 3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91">
    <w:name w:val="Grid Table 6 Colorful - Accent 4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92">
    <w:name w:val="Grid Table 6 Colorful - Accent 5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93">
    <w:name w:val="Grid Table 6 Colorful - Accent 6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94">
    <w:name w:val="Grid Table 7 Colorful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5">
    <w:name w:val="Grid Table 7 Colorful - Accent 1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6">
    <w:name w:val="Grid Table 7 Colorful - Accent 2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7">
    <w:name w:val="Grid Table 7 Colorful - Accent 3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8">
    <w:name w:val="Grid Table 7 Colorful - Accent 4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9">
    <w:name w:val="Grid Table 7 Colorful - Accent 5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0">
    <w:name w:val="Grid Table 7 Colorful - Accent 6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1">
    <w:name w:val="List Table 1 Light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2">
    <w:name w:val="List Table 1 Light - Accent 1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3">
    <w:name w:val="List Table 1 Light - Accent 2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4">
    <w:name w:val="List Table 1 Light - Accent 3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5">
    <w:name w:val="List Table 1 Light - Accent 4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6">
    <w:name w:val="List Table 1 Light - Accent 5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7">
    <w:name w:val="List Table 1 Light - Accent 6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8">
    <w:name w:val="List Table 2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09">
    <w:name w:val="List Table 2 - Accent 1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10">
    <w:name w:val="List Table 2 - Accent 2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11">
    <w:name w:val="List Table 2 - Accent 3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12">
    <w:name w:val="List Table 2 - Accent 4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13">
    <w:name w:val="List Table 2 - Accent 5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14">
    <w:name w:val="List Table 2 - Accent 6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15">
    <w:name w:val="List Table 3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6">
    <w:name w:val="List Table 3 - Accent 1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7">
    <w:name w:val="List Table 3 - Accent 2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8">
    <w:name w:val="List Table 3 - Accent 3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9">
    <w:name w:val="List Table 3 - Accent 4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20">
    <w:name w:val="List Table 3 - Accent 5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21">
    <w:name w:val="List Table 3 - Accent 6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22">
    <w:name w:val="List Table 4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23">
    <w:name w:val="List Table 4 - Accent 1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24">
    <w:name w:val="List Table 4 - Accent 2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25">
    <w:name w:val="List Table 4 - Accent 3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26">
    <w:name w:val="List Table 4 - Accent 4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27">
    <w:name w:val="List Table 4 - Accent 5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28">
    <w:name w:val="List Table 4 - Accent 6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29">
    <w:name w:val="List Table 5 Dark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30">
    <w:name w:val="List Table 5 Dark - Accent 1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31">
    <w:name w:val="List Table 5 Dark - Accent 2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32">
    <w:name w:val="List Table 5 Dark - Accent 3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33">
    <w:name w:val="List Table 5 Dark - Accent 4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34">
    <w:name w:val="List Table 5 Dark - Accent 5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35">
    <w:name w:val="List Table 5 Dark - Accent 6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36">
    <w:name w:val="List Table 6 Colorful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137">
    <w:name w:val="List Table 6 Colorful - Accent 1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138">
    <w:name w:val="List Table 6 Colorful - Accent 2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139">
    <w:name w:val="List Table 6 Colorful - Accent 3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140">
    <w:name w:val="List Table 6 Colorful - Accent 4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141">
    <w:name w:val="List Table 6 Colorful - Accent 5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142">
    <w:name w:val="List Table 6 Colorful - Accent 6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143">
    <w:name w:val="List Table 7 Colorful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144">
    <w:name w:val="List Table 7 Colorful - Accent 1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145">
    <w:name w:val="List Table 7 Colorful - Accent 2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146">
    <w:name w:val="List Table 7 Colorful - Accent 3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147">
    <w:name w:val="List Table 7 Colorful - Accent 4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148">
    <w:name w:val="List Table 7 Colorful - Accent 5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149">
    <w:name w:val="List Table 7 Colorful - Accent 6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150">
    <w:name w:val="Lined - Accent"/>
    <w:basedOn w:val="11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51">
    <w:name w:val="Lined - Accent 1"/>
    <w:basedOn w:val="11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152">
    <w:name w:val="Lined - Accent 2"/>
    <w:basedOn w:val="11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153">
    <w:name w:val="Lined - Accent 3"/>
    <w:basedOn w:val="11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154">
    <w:name w:val="Lined - Accent 4"/>
    <w:basedOn w:val="11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155">
    <w:name w:val="Lined - Accent 5"/>
    <w:basedOn w:val="11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156">
    <w:name w:val="Lined - Accent 6"/>
    <w:basedOn w:val="11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157">
    <w:name w:val="Bordered &amp; Lined - Accent"/>
    <w:basedOn w:val="11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58">
    <w:name w:val="Bordered &amp; Lined - Accent 1"/>
    <w:basedOn w:val="11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159">
    <w:name w:val="Bordered &amp; Lined - Accent 2"/>
    <w:basedOn w:val="11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160">
    <w:name w:val="Bordered &amp; Lined - Accent 3"/>
    <w:basedOn w:val="11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161">
    <w:name w:val="Bordered &amp; Lined - Accent 4"/>
    <w:basedOn w:val="11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162">
    <w:name w:val="Bordered &amp; Lined - Accent 5"/>
    <w:basedOn w:val="11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163">
    <w:name w:val="Bordered &amp; Lined - Accent 6"/>
    <w:basedOn w:val="11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164">
    <w:name w:val="Bordered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165">
    <w:name w:val="Bordered - Accent 1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166">
    <w:name w:val="Bordered - Accent 2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167">
    <w:name w:val="Bordered - Accent 3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168">
    <w:name w:val="Bordered - Accent 4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169">
    <w:name w:val="Bordered - Accent 5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170">
    <w:name w:val="Bordered - Accent 6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171">
    <w:name w:val="Hyperlink"/>
    <w:uiPriority w:val="99"/>
    <w:unhideWhenUsed/>
    <w:rPr>
      <w:color w:val="0000ff" w:themeColor="hyperlink"/>
      <w:u w:val="single"/>
    </w:rPr>
  </w:style>
  <w:style w:type="paragraph" w:styleId="1172">
    <w:name w:val="footnote text"/>
    <w:basedOn w:val="1190"/>
    <w:link w:val="1173"/>
    <w:uiPriority w:val="99"/>
    <w:semiHidden/>
    <w:unhideWhenUsed/>
    <w:pPr>
      <w:spacing w:after="40" w:line="240" w:lineRule="auto"/>
    </w:pPr>
    <w:rPr>
      <w:sz w:val="18"/>
    </w:rPr>
  </w:style>
  <w:style w:type="character" w:styleId="1173">
    <w:name w:val="Footnote Text Char"/>
    <w:link w:val="1172"/>
    <w:uiPriority w:val="99"/>
    <w:rPr>
      <w:sz w:val="18"/>
    </w:rPr>
  </w:style>
  <w:style w:type="character" w:styleId="1174">
    <w:name w:val="footnote reference"/>
    <w:uiPriority w:val="99"/>
    <w:unhideWhenUsed/>
    <w:rPr>
      <w:vertAlign w:val="superscript"/>
    </w:rPr>
  </w:style>
  <w:style w:type="paragraph" w:styleId="1175">
    <w:name w:val="endnote text"/>
    <w:basedOn w:val="1190"/>
    <w:link w:val="1176"/>
    <w:uiPriority w:val="99"/>
    <w:semiHidden/>
    <w:unhideWhenUsed/>
    <w:pPr>
      <w:spacing w:after="0" w:line="240" w:lineRule="auto"/>
    </w:pPr>
    <w:rPr>
      <w:sz w:val="20"/>
    </w:rPr>
  </w:style>
  <w:style w:type="character" w:styleId="1176">
    <w:name w:val="Endnote Text Char"/>
    <w:link w:val="1175"/>
    <w:uiPriority w:val="99"/>
    <w:rPr>
      <w:sz w:val="20"/>
    </w:rPr>
  </w:style>
  <w:style w:type="character" w:styleId="1177">
    <w:name w:val="endnote reference"/>
    <w:uiPriority w:val="99"/>
    <w:semiHidden/>
    <w:unhideWhenUsed/>
    <w:rPr>
      <w:vertAlign w:val="superscript"/>
    </w:rPr>
  </w:style>
  <w:style w:type="paragraph" w:styleId="1178">
    <w:name w:val="toc 1"/>
    <w:basedOn w:val="1190"/>
    <w:next w:val="1190"/>
    <w:uiPriority w:val="39"/>
    <w:unhideWhenUsed/>
    <w:pPr>
      <w:ind w:left="0" w:right="0" w:firstLine="0"/>
      <w:spacing w:after="57"/>
    </w:pPr>
  </w:style>
  <w:style w:type="paragraph" w:styleId="1179">
    <w:name w:val="toc 2"/>
    <w:basedOn w:val="1190"/>
    <w:next w:val="1190"/>
    <w:uiPriority w:val="39"/>
    <w:unhideWhenUsed/>
    <w:pPr>
      <w:ind w:left="283" w:right="0" w:firstLine="0"/>
      <w:spacing w:after="57"/>
    </w:pPr>
  </w:style>
  <w:style w:type="paragraph" w:styleId="1180">
    <w:name w:val="toc 3"/>
    <w:basedOn w:val="1190"/>
    <w:next w:val="1190"/>
    <w:uiPriority w:val="39"/>
    <w:unhideWhenUsed/>
    <w:pPr>
      <w:ind w:left="567" w:right="0" w:firstLine="0"/>
      <w:spacing w:after="57"/>
    </w:pPr>
  </w:style>
  <w:style w:type="paragraph" w:styleId="1181">
    <w:name w:val="toc 4"/>
    <w:basedOn w:val="1190"/>
    <w:next w:val="1190"/>
    <w:uiPriority w:val="39"/>
    <w:unhideWhenUsed/>
    <w:pPr>
      <w:ind w:left="850" w:right="0" w:firstLine="0"/>
      <w:spacing w:after="57"/>
    </w:pPr>
  </w:style>
  <w:style w:type="paragraph" w:styleId="1182">
    <w:name w:val="toc 5"/>
    <w:basedOn w:val="1190"/>
    <w:next w:val="1190"/>
    <w:uiPriority w:val="39"/>
    <w:unhideWhenUsed/>
    <w:pPr>
      <w:ind w:left="1134" w:right="0" w:firstLine="0"/>
      <w:spacing w:after="57"/>
    </w:pPr>
  </w:style>
  <w:style w:type="paragraph" w:styleId="1183">
    <w:name w:val="toc 6"/>
    <w:basedOn w:val="1190"/>
    <w:next w:val="1190"/>
    <w:uiPriority w:val="39"/>
    <w:unhideWhenUsed/>
    <w:pPr>
      <w:ind w:left="1417" w:right="0" w:firstLine="0"/>
      <w:spacing w:after="57"/>
    </w:pPr>
  </w:style>
  <w:style w:type="paragraph" w:styleId="1184">
    <w:name w:val="toc 7"/>
    <w:basedOn w:val="1190"/>
    <w:next w:val="1190"/>
    <w:uiPriority w:val="39"/>
    <w:unhideWhenUsed/>
    <w:pPr>
      <w:ind w:left="1701" w:right="0" w:firstLine="0"/>
      <w:spacing w:after="57"/>
    </w:pPr>
  </w:style>
  <w:style w:type="paragraph" w:styleId="1185">
    <w:name w:val="toc 8"/>
    <w:basedOn w:val="1190"/>
    <w:next w:val="1190"/>
    <w:uiPriority w:val="39"/>
    <w:unhideWhenUsed/>
    <w:pPr>
      <w:ind w:left="1984" w:right="0" w:firstLine="0"/>
      <w:spacing w:after="57"/>
    </w:pPr>
  </w:style>
  <w:style w:type="paragraph" w:styleId="1186">
    <w:name w:val="toc 9"/>
    <w:basedOn w:val="1190"/>
    <w:next w:val="1190"/>
    <w:uiPriority w:val="39"/>
    <w:unhideWhenUsed/>
    <w:pPr>
      <w:ind w:left="2268" w:right="0" w:firstLine="0"/>
      <w:spacing w:after="57"/>
    </w:pPr>
  </w:style>
  <w:style w:type="paragraph" w:styleId="1187">
    <w:name w:val="TOC Heading"/>
    <w:uiPriority w:val="39"/>
    <w:unhideWhenUsed/>
  </w:style>
  <w:style w:type="paragraph" w:styleId="1188">
    <w:name w:val="table of figures"/>
    <w:basedOn w:val="1190"/>
    <w:next w:val="1190"/>
    <w:uiPriority w:val="99"/>
    <w:unhideWhenUsed/>
    <w:pPr>
      <w:spacing w:after="0" w:afterAutospacing="0"/>
    </w:pPr>
  </w:style>
  <w:style w:type="table" w:styleId="1189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paragraph" w:styleId="1190" w:default="1">
    <w:name w:val="Normal"/>
    <w:next w:val="1190"/>
    <w:pPr>
      <w:widowControl/>
    </w:pPr>
    <w:rPr>
      <w:rFonts w:ascii="Times New Roman" w:hAnsi="Times New Roman" w:eastAsia="Times New Roman" w:cs="Times New Roman"/>
      <w:color w:val="auto"/>
      <w:sz w:val="24"/>
      <w:szCs w:val="24"/>
      <w:lang w:val="ru-RU" w:eastAsia="zh-CN" w:bidi="ar-SA"/>
    </w:rPr>
  </w:style>
  <w:style w:type="paragraph" w:styleId="1191">
    <w:name w:val="Заголовок 1"/>
    <w:basedOn w:val="1190"/>
    <w:next w:val="1190"/>
    <w:link w:val="1190"/>
    <w:pPr>
      <w:numPr>
        <w:ilvl w:val="0"/>
        <w:numId w:val="1"/>
      </w:numPr>
      <w:jc w:val="center"/>
      <w:keepNext/>
      <w:outlineLvl w:val="0"/>
    </w:pPr>
    <w:rPr>
      <w:rFonts w:ascii="Book Antiqua" w:hAnsi="Book Antiqua" w:cs="Book Antiqua"/>
      <w:b/>
      <w:bCs/>
      <w:sz w:val="28"/>
      <w:szCs w:val="28"/>
      <w:lang w:val="en-US"/>
    </w:rPr>
  </w:style>
  <w:style w:type="paragraph" w:styleId="1192">
    <w:name w:val="Заголовок 2"/>
    <w:basedOn w:val="1190"/>
    <w:next w:val="1190"/>
    <w:link w:val="1190"/>
    <w:pPr>
      <w:numPr>
        <w:ilvl w:val="1"/>
        <w:numId w:val="1"/>
      </w:num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1193">
    <w:name w:val="Заголовок 3"/>
    <w:basedOn w:val="1190"/>
    <w:next w:val="1190"/>
    <w:link w:val="1190"/>
    <w:pPr>
      <w:numPr>
        <w:ilvl w:val="2"/>
        <w:numId w:val="1"/>
      </w:numPr>
      <w:keepNext/>
      <w:outlineLvl w:val="2"/>
    </w:pPr>
    <w:rPr>
      <w:rFonts w:eastAsia="PMingLiU"/>
      <w:b/>
      <w:bCs/>
      <w:sz w:val="28"/>
      <w:szCs w:val="28"/>
    </w:rPr>
  </w:style>
  <w:style w:type="paragraph" w:styleId="1194">
    <w:name w:val="Заголовок 4"/>
    <w:basedOn w:val="1190"/>
    <w:next w:val="1190"/>
    <w:link w:val="1190"/>
    <w:pPr>
      <w:numPr>
        <w:ilvl w:val="3"/>
        <w:numId w:val="1"/>
      </w:numPr>
      <w:jc w:val="center"/>
      <w:keepNext/>
      <w:outlineLvl w:val="3"/>
    </w:pPr>
    <w:rPr>
      <w:b/>
      <w:bCs/>
    </w:rPr>
  </w:style>
  <w:style w:type="paragraph" w:styleId="1195">
    <w:name w:val="Заголовок 5"/>
    <w:basedOn w:val="1190"/>
    <w:next w:val="1190"/>
    <w:link w:val="1190"/>
    <w:pPr>
      <w:numPr>
        <w:ilvl w:val="4"/>
        <w:numId w:val="1"/>
      </w:numPr>
      <w:jc w:val="center"/>
      <w:keepNext/>
      <w:outlineLvl w:val="4"/>
    </w:pPr>
    <w:rPr>
      <w:b/>
      <w:bCs/>
      <w:sz w:val="22"/>
      <w:szCs w:val="22"/>
    </w:rPr>
  </w:style>
  <w:style w:type="paragraph" w:styleId="1196">
    <w:name w:val="Заголовок 6"/>
    <w:basedOn w:val="1190"/>
    <w:next w:val="1190"/>
    <w:link w:val="1190"/>
    <w:pPr>
      <w:numPr>
        <w:ilvl w:val="5"/>
        <w:numId w:val="1"/>
      </w:numPr>
      <w:keepNext/>
      <w:outlineLvl w:val="5"/>
    </w:pPr>
    <w:rPr>
      <w:b/>
      <w:bCs/>
      <w:sz w:val="22"/>
      <w:szCs w:val="22"/>
    </w:rPr>
  </w:style>
  <w:style w:type="character" w:styleId="1197">
    <w:name w:val="WW8Num2z0"/>
    <w:next w:val="1197"/>
    <w:link w:val="1190"/>
  </w:style>
  <w:style w:type="character" w:styleId="1198">
    <w:name w:val="WW8Num3z0"/>
    <w:next w:val="1198"/>
    <w:link w:val="1190"/>
  </w:style>
  <w:style w:type="character" w:styleId="1199">
    <w:name w:val="WW8Num1z0"/>
    <w:next w:val="1199"/>
    <w:link w:val="1190"/>
  </w:style>
  <w:style w:type="character" w:styleId="1200">
    <w:name w:val="WW8Num4z0"/>
    <w:next w:val="1200"/>
    <w:link w:val="1190"/>
    <w:rPr>
      <w:rFonts w:cs="Times New Roman"/>
    </w:rPr>
  </w:style>
  <w:style w:type="character" w:styleId="1201">
    <w:name w:val="WW8Num5z0"/>
    <w:next w:val="1201"/>
    <w:link w:val="1190"/>
    <w:rPr>
      <w:rFonts w:cs="Times New Roman"/>
    </w:rPr>
  </w:style>
  <w:style w:type="character" w:styleId="1202">
    <w:name w:val="WW8Num6z0"/>
    <w:next w:val="1202"/>
    <w:link w:val="1190"/>
    <w:rPr>
      <w:rFonts w:cs="Times New Roman"/>
      <w:sz w:val="20"/>
      <w:szCs w:val="20"/>
    </w:rPr>
  </w:style>
  <w:style w:type="character" w:styleId="1203">
    <w:name w:val="WW8Num6z1"/>
    <w:next w:val="1203"/>
    <w:link w:val="1190"/>
    <w:rPr>
      <w:rFonts w:cs="Times New Roman"/>
    </w:rPr>
  </w:style>
  <w:style w:type="character" w:styleId="1204">
    <w:name w:val="WW8Num7z0"/>
    <w:next w:val="1204"/>
    <w:link w:val="1190"/>
    <w:rPr>
      <w:rFonts w:cs="Times New Roman"/>
    </w:rPr>
  </w:style>
  <w:style w:type="character" w:styleId="1205">
    <w:name w:val="WW8Num8z0"/>
    <w:next w:val="1205"/>
    <w:link w:val="1190"/>
    <w:rPr>
      <w:rFonts w:cs="Times New Roman"/>
    </w:rPr>
  </w:style>
  <w:style w:type="character" w:styleId="1206">
    <w:name w:val="WW8Num9z0"/>
    <w:next w:val="1206"/>
    <w:link w:val="1190"/>
    <w:rPr>
      <w:rFonts w:cs="Times New Roman"/>
    </w:rPr>
  </w:style>
  <w:style w:type="character" w:styleId="1207">
    <w:name w:val="WW8Num10z0"/>
    <w:next w:val="1207"/>
    <w:link w:val="1190"/>
  </w:style>
  <w:style w:type="character" w:styleId="1208">
    <w:name w:val="WW8Num11z0"/>
    <w:next w:val="1208"/>
    <w:link w:val="1190"/>
  </w:style>
  <w:style w:type="character" w:styleId="1209">
    <w:name w:val="WW8Num12z0"/>
    <w:next w:val="1209"/>
    <w:link w:val="1190"/>
  </w:style>
  <w:style w:type="character" w:styleId="1210">
    <w:name w:val="Основной шрифт абзаца"/>
    <w:next w:val="1210"/>
    <w:link w:val="1190"/>
  </w:style>
  <w:style w:type="character" w:styleId="1211">
    <w:name w:val="Номер страницы"/>
    <w:basedOn w:val="1210"/>
    <w:next w:val="1211"/>
    <w:link w:val="1190"/>
  </w:style>
  <w:style w:type="character" w:styleId="1212">
    <w:name w:val="Интернет-ссылка"/>
    <w:next w:val="1212"/>
    <w:link w:val="1190"/>
    <w:rPr>
      <w:color w:val="0000ff"/>
      <w:u w:val="single"/>
    </w:rPr>
  </w:style>
  <w:style w:type="character" w:styleId="1213">
    <w:name w:val="Нижний колонтитул Знак"/>
    <w:next w:val="1213"/>
    <w:link w:val="1190"/>
    <w:rPr>
      <w:sz w:val="24"/>
      <w:szCs w:val="24"/>
    </w:rPr>
  </w:style>
  <w:style w:type="character" w:styleId="1214">
    <w:name w:val="Основной текст Знак"/>
    <w:next w:val="1214"/>
    <w:link w:val="1190"/>
    <w:rPr>
      <w:sz w:val="24"/>
      <w:szCs w:val="24"/>
    </w:rPr>
  </w:style>
  <w:style w:type="character" w:styleId="1215">
    <w:name w:val="Основной текст Знак2"/>
    <w:next w:val="1215"/>
    <w:link w:val="1190"/>
    <w:rPr>
      <w:sz w:val="26"/>
      <w:szCs w:val="26"/>
      <w:shd w:val="clear" w:color="auto" w:fill="ffffff"/>
      <w:lang w:val="en-US"/>
    </w:rPr>
  </w:style>
  <w:style w:type="character" w:styleId="1216">
    <w:name w:val="Заголовок 1 Знак"/>
    <w:next w:val="1216"/>
    <w:link w:val="1190"/>
    <w:rPr>
      <w:rFonts w:ascii="Book Antiqua" w:hAnsi="Book Antiqua" w:cs="Book Antiqua"/>
      <w:b/>
      <w:bCs/>
      <w:sz w:val="28"/>
      <w:szCs w:val="28"/>
    </w:rPr>
  </w:style>
  <w:style w:type="character" w:styleId="1217">
    <w:name w:val="Верхний колонтитул Знак"/>
    <w:next w:val="1217"/>
    <w:link w:val="1190"/>
    <w:rPr>
      <w:sz w:val="24"/>
      <w:szCs w:val="24"/>
    </w:rPr>
  </w:style>
  <w:style w:type="character" w:styleId="1218">
    <w:name w:val="Текст выноски Знак"/>
    <w:next w:val="1218"/>
    <w:link w:val="1190"/>
    <w:rPr>
      <w:rFonts w:ascii="Tahoma" w:hAnsi="Tahoma" w:cs="Tahoma"/>
      <w:sz w:val="16"/>
      <w:szCs w:val="16"/>
      <w:lang w:val="en-US"/>
    </w:rPr>
  </w:style>
  <w:style w:type="character" w:styleId="1219">
    <w:name w:val="Текст концевой сноски Знак"/>
    <w:next w:val="1219"/>
    <w:link w:val="1190"/>
    <w:rPr>
      <w:rFonts w:ascii="Calibri" w:hAnsi="Calibri" w:cs="Calibri"/>
      <w:lang w:val="en-US"/>
    </w:rPr>
  </w:style>
  <w:style w:type="character" w:styleId="1220">
    <w:name w:val="Символ концевой сноски"/>
    <w:next w:val="1220"/>
    <w:link w:val="1190"/>
    <w:rPr>
      <w:rFonts w:cs="Times New Roman"/>
      <w:vertAlign w:val="superscript"/>
    </w:rPr>
  </w:style>
  <w:style w:type="character" w:styleId="1221">
    <w:name w:val="Текст сноски Знак"/>
    <w:next w:val="1221"/>
    <w:link w:val="1190"/>
    <w:rPr>
      <w:rFonts w:ascii="Calibri" w:hAnsi="Calibri" w:cs="Calibri"/>
      <w:lang w:val="en-US"/>
    </w:rPr>
  </w:style>
  <w:style w:type="character" w:styleId="1222">
    <w:name w:val="Символ сноски"/>
    <w:next w:val="1222"/>
    <w:link w:val="1190"/>
    <w:rPr>
      <w:rFonts w:cs="Times New Roman"/>
      <w:vertAlign w:val="superscript"/>
    </w:rPr>
  </w:style>
  <w:style w:type="character" w:styleId="1223">
    <w:name w:val="Знак примечания"/>
    <w:next w:val="1223"/>
    <w:link w:val="1190"/>
    <w:rPr>
      <w:rFonts w:cs="Times New Roman"/>
      <w:sz w:val="16"/>
      <w:szCs w:val="16"/>
    </w:rPr>
  </w:style>
  <w:style w:type="character" w:styleId="1224">
    <w:name w:val="Текст примечания Знак"/>
    <w:next w:val="1224"/>
    <w:link w:val="1190"/>
    <w:rPr>
      <w:rFonts w:ascii="Calibri" w:hAnsi="Calibri" w:cs="Calibri"/>
      <w:lang w:val="en-US"/>
    </w:rPr>
  </w:style>
  <w:style w:type="character" w:styleId="1225">
    <w:name w:val="Тема примечания Знак"/>
    <w:next w:val="1225"/>
    <w:link w:val="1190"/>
    <w:rPr>
      <w:rFonts w:ascii="Calibri" w:hAnsi="Calibri" w:cs="Calibri"/>
      <w:b/>
      <w:bCs/>
      <w:lang w:val="en-US"/>
    </w:rPr>
  </w:style>
  <w:style w:type="character" w:styleId="1226">
    <w:name w:val="Font Style52"/>
    <w:next w:val="1226"/>
    <w:link w:val="1190"/>
    <w:rPr>
      <w:rFonts w:ascii="Times New Roman" w:hAnsi="Times New Roman" w:cs="Times New Roman"/>
      <w:sz w:val="26"/>
      <w:szCs w:val="26"/>
    </w:rPr>
  </w:style>
  <w:style w:type="paragraph" w:styleId="1227">
    <w:name w:val="Заголовок"/>
    <w:basedOn w:val="1190"/>
    <w:next w:val="1228"/>
    <w:link w:val="1190"/>
    <w:pPr>
      <w:jc w:val="center"/>
    </w:pPr>
    <w:rPr>
      <w:rFonts w:ascii="Arial" w:hAnsi="Arial" w:cs="Arial"/>
      <w:b/>
      <w:bCs/>
    </w:rPr>
  </w:style>
  <w:style w:type="paragraph" w:styleId="1228">
    <w:name w:val="Основной текст"/>
    <w:basedOn w:val="1190"/>
    <w:next w:val="1228"/>
    <w:link w:val="1190"/>
    <w:pPr>
      <w:jc w:val="both"/>
      <w:spacing w:line="322" w:lineRule="exact"/>
      <w:shd w:val="clear" w:color="auto" w:fill="ffffff"/>
      <w:widowControl w:val="off"/>
    </w:pPr>
    <w:rPr>
      <w:lang w:val="en-US"/>
    </w:rPr>
  </w:style>
  <w:style w:type="paragraph" w:styleId="1229">
    <w:name w:val="Список"/>
    <w:basedOn w:val="1228"/>
    <w:next w:val="1229"/>
    <w:link w:val="1190"/>
    <w:rPr>
      <w:rFonts w:cs="Verdana"/>
    </w:rPr>
  </w:style>
  <w:style w:type="paragraph" w:styleId="1230">
    <w:name w:val="Название"/>
    <w:basedOn w:val="1190"/>
    <w:next w:val="1230"/>
    <w:link w:val="1190"/>
    <w:pPr>
      <w:spacing w:before="120" w:after="120"/>
      <w:suppressLineNumbers/>
    </w:pPr>
    <w:rPr>
      <w:rFonts w:cs="Verdana"/>
      <w:i/>
      <w:iCs/>
      <w:sz w:val="24"/>
      <w:szCs w:val="24"/>
    </w:rPr>
  </w:style>
  <w:style w:type="paragraph" w:styleId="1231">
    <w:name w:val="Указатель"/>
    <w:basedOn w:val="1190"/>
    <w:next w:val="1231"/>
    <w:link w:val="1190"/>
    <w:pPr>
      <w:suppressLineNumbers/>
    </w:pPr>
    <w:rPr>
      <w:rFonts w:cs="Verdana"/>
      <w:lang w:val="en-US" w:eastAsia="en-US" w:bidi="en-US"/>
    </w:rPr>
  </w:style>
  <w:style w:type="paragraph" w:styleId="1232">
    <w:name w:val="Колонтитул"/>
    <w:basedOn w:val="1190"/>
    <w:next w:val="1232"/>
    <w:link w:val="1190"/>
    <w:pPr>
      <w:tabs>
        <w:tab w:val="center" w:pos="4819" w:leader="none"/>
        <w:tab w:val="right" w:pos="9638" w:leader="none"/>
      </w:tabs>
      <w:suppressLineNumbers/>
    </w:pPr>
  </w:style>
  <w:style w:type="paragraph" w:styleId="1233">
    <w:name w:val="Верхний колонтитул"/>
    <w:basedOn w:val="1190"/>
    <w:next w:val="1233"/>
    <w:link w:val="1190"/>
    <w:pPr>
      <w:tabs>
        <w:tab w:val="center" w:pos="4677" w:leader="none"/>
        <w:tab w:val="right" w:pos="9355" w:leader="none"/>
      </w:tabs>
    </w:pPr>
    <w:rPr>
      <w:lang w:val="en-US"/>
    </w:rPr>
  </w:style>
  <w:style w:type="paragraph" w:styleId="1234">
    <w:name w:val="ConsPlusNormal"/>
    <w:next w:val="1234"/>
    <w:link w:val="1190"/>
    <w:pPr>
      <w:ind w:left="0" w:right="0" w:firstLine="720"/>
      <w:widowControl w:val="off"/>
    </w:pPr>
    <w:rPr>
      <w:rFonts w:ascii="Arial" w:hAnsi="Arial" w:eastAsia="Times New Roman" w:cs="Arial"/>
      <w:color w:val="auto"/>
      <w:sz w:val="20"/>
      <w:szCs w:val="20"/>
      <w:lang w:val="ru-RU" w:eastAsia="zh-CN" w:bidi="ar-SA"/>
    </w:rPr>
  </w:style>
  <w:style w:type="paragraph" w:styleId="1235">
    <w:name w:val="Абзац списка"/>
    <w:basedOn w:val="1190"/>
    <w:next w:val="1235"/>
    <w:pPr>
      <w:ind w:left="708" w:right="0" w:firstLine="0"/>
    </w:pPr>
  </w:style>
  <w:style w:type="paragraph" w:styleId="1236">
    <w:name w:val="Нижний колонтитул"/>
    <w:basedOn w:val="1190"/>
    <w:next w:val="1236"/>
    <w:link w:val="1190"/>
    <w:pPr>
      <w:tabs>
        <w:tab w:val="center" w:pos="4677" w:leader="none"/>
        <w:tab w:val="right" w:pos="9355" w:leader="none"/>
      </w:tabs>
    </w:pPr>
    <w:rPr>
      <w:lang w:val="en-US"/>
    </w:rPr>
  </w:style>
  <w:style w:type="paragraph" w:styleId="1237">
    <w:name w:val="Название объекта"/>
    <w:basedOn w:val="1190"/>
    <w:next w:val="1190"/>
    <w:link w:val="1190"/>
    <w:pPr>
      <w:jc w:val="both"/>
      <w:spacing w:line="360" w:lineRule="auto"/>
    </w:pPr>
    <w:rPr>
      <w:rFonts w:ascii="Calibri" w:hAnsi="Calibri" w:cs="Calibri"/>
      <w:b/>
      <w:bCs/>
      <w:sz w:val="20"/>
      <w:szCs w:val="20"/>
    </w:rPr>
  </w:style>
  <w:style w:type="paragraph" w:styleId="1238">
    <w:name w:val="ConsPlusNonformat"/>
    <w:next w:val="1238"/>
    <w:link w:val="1190"/>
    <w:pPr>
      <w:widowControl w:val="off"/>
    </w:pPr>
    <w:rPr>
      <w:rFonts w:ascii="Courier New" w:hAnsi="Courier New" w:eastAsia="Times New Roman" w:cs="Courier New"/>
      <w:color w:val="auto"/>
      <w:sz w:val="20"/>
      <w:szCs w:val="20"/>
      <w:lang w:val="ru-RU" w:eastAsia="zh-CN" w:bidi="ar-SA"/>
    </w:rPr>
  </w:style>
  <w:style w:type="paragraph" w:styleId="1239">
    <w:name w:val="ConsPlusCell"/>
    <w:next w:val="1239"/>
    <w:link w:val="1190"/>
    <w:pPr>
      <w:widowControl w:val="off"/>
    </w:pPr>
    <w:rPr>
      <w:rFonts w:ascii="Arial" w:hAnsi="Arial" w:eastAsia="Times New Roman" w:cs="Arial"/>
      <w:color w:val="auto"/>
      <w:sz w:val="20"/>
      <w:szCs w:val="20"/>
      <w:lang w:val="ru-RU" w:eastAsia="zh-CN" w:bidi="ar-SA"/>
    </w:rPr>
  </w:style>
  <w:style w:type="paragraph" w:styleId="1240">
    <w:name w:val="Текст выноски"/>
    <w:basedOn w:val="1190"/>
    <w:next w:val="1240"/>
    <w:link w:val="1190"/>
    <w:rPr>
      <w:rFonts w:ascii="Tahoma" w:hAnsi="Tahoma" w:cs="Tahoma"/>
      <w:sz w:val="16"/>
      <w:szCs w:val="16"/>
      <w:lang w:val="en-US"/>
    </w:rPr>
  </w:style>
  <w:style w:type="paragraph" w:styleId="1241">
    <w:name w:val="List Paragraph"/>
    <w:basedOn w:val="1190"/>
    <w:next w:val="1241"/>
    <w:link w:val="1190"/>
    <w:pPr>
      <w:contextualSpacing/>
      <w:ind w:left="720" w:right="0" w:firstLine="0"/>
      <w:spacing w:before="0" w:after="200" w:line="276" w:lineRule="auto"/>
    </w:pPr>
    <w:rPr>
      <w:rFonts w:ascii="Calibri" w:hAnsi="Calibri" w:cs="Calibri"/>
      <w:sz w:val="22"/>
      <w:szCs w:val="22"/>
    </w:rPr>
  </w:style>
  <w:style w:type="paragraph" w:styleId="1242">
    <w:name w:val="Концевая сноска"/>
    <w:basedOn w:val="1190"/>
    <w:next w:val="1242"/>
    <w:link w:val="1190"/>
    <w:rPr>
      <w:rFonts w:ascii="Calibri" w:hAnsi="Calibri" w:cs="Calibri"/>
      <w:sz w:val="20"/>
      <w:szCs w:val="20"/>
      <w:lang w:val="en-US"/>
    </w:rPr>
  </w:style>
  <w:style w:type="paragraph" w:styleId="1243">
    <w:name w:val="Сноска"/>
    <w:basedOn w:val="1190"/>
    <w:next w:val="1243"/>
    <w:link w:val="1190"/>
    <w:rPr>
      <w:rFonts w:ascii="Calibri" w:hAnsi="Calibri" w:cs="Calibri"/>
      <w:sz w:val="20"/>
      <w:szCs w:val="20"/>
      <w:lang w:val="en-US"/>
    </w:rPr>
  </w:style>
  <w:style w:type="paragraph" w:styleId="1244">
    <w:name w:val="Текст примечания"/>
    <w:basedOn w:val="1190"/>
    <w:next w:val="1244"/>
    <w:link w:val="1190"/>
    <w:pPr>
      <w:spacing w:before="0" w:after="200"/>
    </w:pPr>
    <w:rPr>
      <w:rFonts w:ascii="Calibri" w:hAnsi="Calibri" w:cs="Calibri"/>
      <w:sz w:val="20"/>
      <w:szCs w:val="20"/>
      <w:lang w:val="en-US"/>
    </w:rPr>
  </w:style>
  <w:style w:type="paragraph" w:styleId="1245">
    <w:name w:val="Тема примечания"/>
    <w:basedOn w:val="1244"/>
    <w:next w:val="1244"/>
    <w:link w:val="1190"/>
    <w:rPr>
      <w:b/>
      <w:bCs/>
    </w:rPr>
  </w:style>
  <w:style w:type="paragraph" w:styleId="1246">
    <w:name w:val="Содержимое таблицы"/>
    <w:basedOn w:val="1190"/>
    <w:next w:val="1246"/>
    <w:link w:val="1190"/>
    <w:pPr>
      <w:widowControl w:val="off"/>
      <w:suppressLineNumbers/>
    </w:pPr>
  </w:style>
  <w:style w:type="paragraph" w:styleId="1247">
    <w:name w:val="Заголовок таблицы"/>
    <w:basedOn w:val="1246"/>
    <w:next w:val="1247"/>
    <w:link w:val="1190"/>
    <w:pPr>
      <w:jc w:val="center"/>
      <w:suppressLineNumbers/>
    </w:pPr>
    <w:rPr>
      <w:b/>
      <w:bCs/>
    </w:rPr>
  </w:style>
  <w:style w:type="paragraph" w:styleId="1248">
    <w:name w:val="Содержимое врезки"/>
    <w:basedOn w:val="1190"/>
    <w:next w:val="1248"/>
    <w:link w:val="1190"/>
  </w:style>
  <w:style w:type="character" w:styleId="1249" w:default="1">
    <w:name w:val="Default Paragraph Font"/>
    <w:uiPriority w:val="1"/>
    <w:semiHidden/>
    <w:unhideWhenUsed/>
  </w:style>
  <w:style w:type="numbering" w:styleId="1250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header" Target="header7.xml" /><Relationship Id="rId16" Type="http://schemas.openxmlformats.org/officeDocument/2006/relationships/header" Target="header8.xml" /><Relationship Id="rId17" Type="http://schemas.openxmlformats.org/officeDocument/2006/relationships/header" Target="header9.xml" /><Relationship Id="rId18" Type="http://schemas.openxmlformats.org/officeDocument/2006/relationships/header" Target="header10.xml" /><Relationship Id="rId19" Type="http://schemas.openxmlformats.org/officeDocument/2006/relationships/header" Target="header11.xml" /><Relationship Id="rId20" Type="http://schemas.openxmlformats.org/officeDocument/2006/relationships/header" Target="header12.xml" /><Relationship Id="rId21" Type="http://schemas.openxmlformats.org/officeDocument/2006/relationships/header" Target="header13.xml" /><Relationship Id="rId22" Type="http://schemas.openxmlformats.org/officeDocument/2006/relationships/header" Target="header14.xml" /><Relationship Id="rId23" Type="http://schemas.openxmlformats.org/officeDocument/2006/relationships/footer" Target="footer1.xml" /><Relationship Id="rId24" Type="http://schemas.openxmlformats.org/officeDocument/2006/relationships/footer" Target="footer2.xml" /><Relationship Id="rId25" Type="http://schemas.openxmlformats.org/officeDocument/2006/relationships/footer" Target="footer3.xml" /><Relationship Id="rId26" Type="http://schemas.openxmlformats.org/officeDocument/2006/relationships/footer" Target="footer4.xml" /><Relationship Id="rId27" Type="http://schemas.openxmlformats.org/officeDocument/2006/relationships/footer" Target="footer5.xml" /><Relationship Id="rId28" Type="http://schemas.openxmlformats.org/officeDocument/2006/relationships/footer" Target="footer6.xml" /><Relationship Id="rId29" Type="http://schemas.openxmlformats.org/officeDocument/2006/relationships/footer" Target="footer7.xml" /><Relationship Id="rId30" Type="http://schemas.openxmlformats.org/officeDocument/2006/relationships/footer" Target="footer8.xml" /><Relationship Id="rId31" Type="http://schemas.openxmlformats.org/officeDocument/2006/relationships/footer" Target="footer9.xml" /><Relationship Id="rId32" Type="http://schemas.openxmlformats.org/officeDocument/2006/relationships/footer" Target="footer10.xml" /><Relationship Id="rId33" Type="http://schemas.openxmlformats.org/officeDocument/2006/relationships/footer" Target="footer11.xml" /><Relationship Id="rId34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10.xml.rels><?xml version="1.0" encoding="UTF-8" standalone="yes"?><Relationships xmlns="http://schemas.openxmlformats.org/package/2006/relationships"></Relationships>
</file>

<file path=word/_rels/footer1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er6.xml.rels><?xml version="1.0" encoding="UTF-8" standalone="yes"?><Relationships xmlns="http://schemas.openxmlformats.org/package/2006/relationships"></Relationships>
</file>

<file path=word/_rels/footer7.xml.rels><?xml version="1.0" encoding="UTF-8" standalone="yes"?><Relationships xmlns="http://schemas.openxmlformats.org/package/2006/relationships"></Relationships>
</file>

<file path=word/_rels/footer8.xml.rels><?xml version="1.0" encoding="UTF-8" standalone="yes"?><Relationships xmlns="http://schemas.openxmlformats.org/package/2006/relationships"></Relationships>
</file>

<file path=word/_rels/footer9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10.xml.rels><?xml version="1.0" encoding="UTF-8" standalone="yes"?><Relationships xmlns="http://schemas.openxmlformats.org/package/2006/relationships"></Relationships>
</file>

<file path=word/_rels/header11.xml.rels><?xml version="1.0" encoding="UTF-8" standalone="yes"?><Relationships xmlns="http://schemas.openxmlformats.org/package/2006/relationships"></Relationships>
</file>

<file path=word/_rels/header12.xml.rels><?xml version="1.0" encoding="UTF-8" standalone="yes"?><Relationships xmlns="http://schemas.openxmlformats.org/package/2006/relationships"></Relationships>
</file>

<file path=word/_rels/header13.xml.rels><?xml version="1.0" encoding="UTF-8" standalone="yes"?><Relationships xmlns="http://schemas.openxmlformats.org/package/2006/relationships"></Relationships>
</file>

<file path=word/_rels/header14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_rels/header7.xml.rels><?xml version="1.0" encoding="UTF-8" standalone="yes"?><Relationships xmlns="http://schemas.openxmlformats.org/package/2006/relationships"></Relationships>
</file>

<file path=word/_rels/header8.xml.rels><?xml version="1.0" encoding="UTF-8" standalone="yes"?><Relationships xmlns="http://schemas.openxmlformats.org/package/2006/relationships"></Relationships>
</file>

<file path=word/_rels/header9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211</cp:revision>
  <dcterms:created xsi:type="dcterms:W3CDTF">2014-07-22T07:45:00Z</dcterms:created>
  <dcterms:modified xsi:type="dcterms:W3CDTF">2024-02-27T08:38:25Z</dcterms:modified>
</cp:coreProperties>
</file>